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Style w:val="TableGrid"/>
        <w:tblW w:w="0" w:type="auto"/>
        <w:tblLook w:val="04A0"/>
      </w:tblPr>
      <w:tblGrid>
        <w:gridCol w:w="9016"/>
      </w:tblGrid>
      <w:tr w:rsidTr="0040532B">
        <w:tblPrEx>
          <w:tblW w:w="0" w:type="auto"/>
          <w:tblLook w:val="04A0"/>
        </w:tblPrEx>
        <w:trPr>
          <w:trHeight w:val="737"/>
        </w:trPr>
        <w:tc>
          <w:tcPr>
            <w:tcW w:w="9016" w:type="dxa"/>
          </w:tcPr>
          <w:p w:rsidR="00526FB2" w:rsidRPr="006A1B50" w:rsidP="00526FB2">
            <w:pPr>
              <w:jc w:val="both"/>
              <w:rPr>
                <w:rFonts w:ascii="Arial" w:hAnsi="Arial" w:cs="Arial"/>
                <w:b/>
                <w:sz w:val="24"/>
                <w:szCs w:val="24"/>
              </w:rPr>
            </w:pPr>
            <w:bookmarkStart w:id="0" w:name="_GoBack"/>
            <w:bookmarkEnd w:id="0"/>
            <w:r w:rsidRPr="006A1B50">
              <w:rPr>
                <w:rFonts w:ascii="Arial" w:hAnsi="Arial" w:cs="Arial"/>
                <w:b/>
                <w:sz w:val="24"/>
                <w:szCs w:val="24"/>
              </w:rPr>
              <w:t>Procurement Title</w:t>
            </w:r>
          </w:p>
          <w:p w:rsidR="00526FB2" w:rsidRPr="006A1B50" w:rsidP="0059351B">
            <w:pPr>
              <w:rPr>
                <w:rFonts w:ascii="Arial" w:hAnsi="Arial" w:cs="Arial"/>
              </w:rPr>
            </w:pPr>
            <w:r w:rsidRPr="006A1B50">
              <w:rPr>
                <w:rFonts w:ascii="Arial" w:hAnsi="Arial" w:cs="Arial"/>
                <w:sz w:val="24"/>
                <w:szCs w:val="24"/>
              </w:rPr>
              <w:t>Provision of a Framework Agreement – Lease of a Waste Transport Fleet for Lancashire Renewables Limited.</w:t>
            </w:r>
          </w:p>
        </w:tc>
      </w:tr>
      <w:tr w:rsidTr="0040532B">
        <w:tblPrEx>
          <w:tblW w:w="0" w:type="auto"/>
          <w:tblLook w:val="04A0"/>
        </w:tblPrEx>
        <w:trPr>
          <w:trHeight w:val="737"/>
        </w:trPr>
        <w:tc>
          <w:tcPr>
            <w:tcW w:w="9016" w:type="dxa"/>
          </w:tcPr>
          <w:p w:rsidR="00526FB2" w:rsidRPr="006A1B50" w:rsidP="00526FB2">
            <w:pPr>
              <w:jc w:val="both"/>
              <w:rPr>
                <w:rFonts w:ascii="Arial" w:hAnsi="Arial" w:cs="Arial"/>
                <w:b/>
                <w:sz w:val="24"/>
                <w:szCs w:val="24"/>
              </w:rPr>
            </w:pPr>
            <w:r w:rsidRPr="006A1B50">
              <w:rPr>
                <w:rFonts w:ascii="Arial" w:hAnsi="Arial" w:cs="Arial"/>
                <w:b/>
                <w:sz w:val="24"/>
                <w:szCs w:val="24"/>
              </w:rPr>
              <w:t>Procurement Option</w:t>
            </w:r>
          </w:p>
          <w:p w:rsidR="00526FB2" w:rsidRPr="006A1B50" w:rsidP="00732EBC">
            <w:pPr>
              <w:rPr>
                <w:rFonts w:ascii="Arial" w:hAnsi="Arial" w:cs="Arial"/>
              </w:rPr>
            </w:pPr>
            <w:r w:rsidRPr="006A1B50">
              <w:rPr>
                <w:rFonts w:ascii="Arial" w:hAnsi="Arial" w:cs="Arial"/>
                <w:sz w:val="24"/>
                <w:szCs w:val="24"/>
              </w:rPr>
              <w:t>Open Procedure compliant with the Public Contract Regulations 2015</w:t>
            </w:r>
          </w:p>
        </w:tc>
      </w:tr>
      <w:tr w:rsidTr="0040532B">
        <w:tblPrEx>
          <w:tblW w:w="0" w:type="auto"/>
          <w:tblLook w:val="04A0"/>
        </w:tblPrEx>
        <w:trPr>
          <w:trHeight w:val="737"/>
        </w:trPr>
        <w:tc>
          <w:tcPr>
            <w:tcW w:w="9016" w:type="dxa"/>
          </w:tcPr>
          <w:p w:rsidR="00526FB2" w:rsidRPr="006A1B50" w:rsidP="00526FB2">
            <w:pPr>
              <w:jc w:val="both"/>
              <w:rPr>
                <w:rFonts w:ascii="Arial" w:hAnsi="Arial" w:cs="Arial"/>
                <w:b/>
                <w:sz w:val="24"/>
                <w:szCs w:val="24"/>
              </w:rPr>
            </w:pPr>
            <w:r w:rsidRPr="006A1B50">
              <w:rPr>
                <w:rFonts w:ascii="Arial" w:hAnsi="Arial" w:cs="Arial"/>
                <w:b/>
                <w:sz w:val="24"/>
                <w:szCs w:val="24"/>
              </w:rPr>
              <w:t>New or Existing Provision</w:t>
            </w:r>
          </w:p>
          <w:p w:rsidR="00526FB2" w:rsidRPr="006A1B50" w:rsidP="00732EBC">
            <w:pPr>
              <w:rPr>
                <w:rFonts w:ascii="Arial" w:hAnsi="Arial" w:cs="Arial"/>
              </w:rPr>
            </w:pPr>
            <w:r w:rsidRPr="006A1B50">
              <w:rPr>
                <w:rFonts w:ascii="Arial" w:hAnsi="Arial" w:cs="Arial"/>
                <w:sz w:val="24"/>
                <w:szCs w:val="24"/>
              </w:rPr>
              <w:t>New provision.</w:t>
            </w:r>
          </w:p>
        </w:tc>
      </w:tr>
      <w:tr w:rsidTr="0040532B">
        <w:tblPrEx>
          <w:tblW w:w="0" w:type="auto"/>
          <w:tblLook w:val="04A0"/>
        </w:tblPrEx>
        <w:trPr>
          <w:trHeight w:val="2891"/>
        </w:trPr>
        <w:tc>
          <w:tcPr>
            <w:tcW w:w="9016" w:type="dxa"/>
          </w:tcPr>
          <w:p w:rsidR="00526FB2" w:rsidRPr="006A1B50" w:rsidP="00526FB2">
            <w:pPr>
              <w:jc w:val="both"/>
              <w:rPr>
                <w:rFonts w:ascii="Arial" w:hAnsi="Arial" w:cs="Arial"/>
                <w:b/>
                <w:sz w:val="24"/>
                <w:szCs w:val="24"/>
              </w:rPr>
            </w:pPr>
            <w:r w:rsidRPr="006A1B50">
              <w:rPr>
                <w:rFonts w:ascii="Arial" w:hAnsi="Arial" w:cs="Arial"/>
                <w:b/>
                <w:sz w:val="24"/>
                <w:szCs w:val="24"/>
              </w:rPr>
              <w:t>Estimated Annual Contract Value and Funding Arrangements</w:t>
            </w:r>
          </w:p>
          <w:p w:rsidR="00AB7A4E" w:rsidRPr="006A1B50" w:rsidP="00931376">
            <w:pPr>
              <w:autoSpaceDE w:val="0"/>
              <w:autoSpaceDN w:val="0"/>
              <w:adjustRightInd w:val="0"/>
              <w:jc w:val="both"/>
              <w:rPr>
                <w:rFonts w:ascii="Arial" w:hAnsi="Arial" w:cs="Arial"/>
                <w:color w:val="000000"/>
                <w:sz w:val="24"/>
                <w:szCs w:val="24"/>
              </w:rPr>
            </w:pPr>
            <w:r w:rsidRPr="006A1B50">
              <w:rPr>
                <w:rFonts w:ascii="Arial" w:hAnsi="Arial" w:cs="Arial"/>
                <w:color w:val="000000"/>
                <w:sz w:val="24"/>
                <w:szCs w:val="24"/>
              </w:rPr>
              <w:t xml:space="preserve">The estimated annual value is </w:t>
            </w:r>
            <w:r w:rsidRPr="006A1B50">
              <w:rPr>
                <w:rFonts w:ascii="Arial" w:hAnsi="Arial" w:cs="Arial"/>
                <w:sz w:val="24"/>
                <w:szCs w:val="24"/>
              </w:rPr>
              <w:t>£1,250,000</w:t>
            </w:r>
            <w:r>
              <w:rPr>
                <w:rFonts w:ascii="Arial" w:hAnsi="Arial" w:cs="Arial"/>
                <w:sz w:val="24"/>
                <w:szCs w:val="24"/>
              </w:rPr>
              <w:t xml:space="preserve"> </w:t>
            </w:r>
            <w:r w:rsidRPr="006A1B50">
              <w:rPr>
                <w:rFonts w:ascii="Arial" w:hAnsi="Arial" w:cs="Arial"/>
                <w:sz w:val="24"/>
                <w:szCs w:val="24"/>
              </w:rPr>
              <w:t>-</w:t>
            </w:r>
            <w:r>
              <w:rPr>
                <w:rFonts w:ascii="Arial" w:hAnsi="Arial" w:cs="Arial"/>
                <w:sz w:val="24"/>
                <w:szCs w:val="24"/>
              </w:rPr>
              <w:t xml:space="preserve"> </w:t>
            </w:r>
            <w:r w:rsidRPr="006A1B50">
              <w:rPr>
                <w:rFonts w:ascii="Arial" w:hAnsi="Arial" w:cs="Arial"/>
                <w:sz w:val="24"/>
                <w:szCs w:val="24"/>
              </w:rPr>
              <w:t xml:space="preserve">£1,700,000. The total value of the </w:t>
            </w:r>
            <w:r>
              <w:rPr>
                <w:rFonts w:ascii="Arial" w:hAnsi="Arial" w:cs="Arial"/>
                <w:sz w:val="24"/>
                <w:szCs w:val="24"/>
              </w:rPr>
              <w:t xml:space="preserve">contracts called off from this framework is </w:t>
            </w:r>
            <w:r w:rsidRPr="006A1B50">
              <w:rPr>
                <w:rFonts w:ascii="Arial" w:hAnsi="Arial" w:cs="Arial"/>
                <w:sz w:val="24"/>
                <w:szCs w:val="24"/>
              </w:rPr>
              <w:t>£6,250,000</w:t>
            </w:r>
            <w:r>
              <w:rPr>
                <w:rFonts w:ascii="Arial" w:hAnsi="Arial" w:cs="Arial"/>
                <w:sz w:val="24"/>
                <w:szCs w:val="24"/>
              </w:rPr>
              <w:t xml:space="preserve"> </w:t>
            </w:r>
            <w:r w:rsidRPr="006A1B50">
              <w:rPr>
                <w:rFonts w:ascii="Arial" w:hAnsi="Arial" w:cs="Arial"/>
                <w:sz w:val="24"/>
                <w:szCs w:val="24"/>
              </w:rPr>
              <w:t>-</w:t>
            </w:r>
            <w:r>
              <w:rPr>
                <w:rFonts w:ascii="Arial" w:hAnsi="Arial" w:cs="Arial"/>
                <w:sz w:val="24"/>
                <w:szCs w:val="24"/>
              </w:rPr>
              <w:t xml:space="preserve"> </w:t>
            </w:r>
            <w:r w:rsidRPr="006A1B50">
              <w:rPr>
                <w:rFonts w:ascii="Arial" w:hAnsi="Arial" w:cs="Arial"/>
                <w:sz w:val="24"/>
                <w:szCs w:val="24"/>
              </w:rPr>
              <w:t xml:space="preserve">£8,500,000 </w:t>
            </w:r>
          </w:p>
          <w:p w:rsidR="00B65005" w:rsidRPr="006A1B50" w:rsidP="00AB7A4E">
            <w:pPr>
              <w:autoSpaceDE w:val="0"/>
              <w:autoSpaceDN w:val="0"/>
              <w:adjustRightInd w:val="0"/>
              <w:rPr>
                <w:rFonts w:ascii="Arial" w:hAnsi="Arial" w:cs="Arial"/>
                <w:color w:val="000000"/>
                <w:sz w:val="24"/>
                <w:szCs w:val="24"/>
              </w:rPr>
            </w:pPr>
          </w:p>
          <w:p w:rsidR="005C3718" w:rsidRPr="006A1B50" w:rsidP="001B2006">
            <w:pPr>
              <w:pStyle w:val="NoSpacing"/>
              <w:jc w:val="both"/>
              <w:rPr>
                <w:rFonts w:cs="Arial"/>
                <w:szCs w:val="24"/>
              </w:rPr>
            </w:pPr>
            <w:r>
              <w:rPr>
                <w:rFonts w:cs="Arial"/>
                <w:szCs w:val="24"/>
              </w:rPr>
              <w:t>The new T</w:t>
            </w:r>
            <w:r w:rsidRPr="008D282D">
              <w:rPr>
                <w:rFonts w:cs="Arial"/>
                <w:szCs w:val="24"/>
              </w:rPr>
              <w:t xml:space="preserve">ransport </w:t>
            </w:r>
            <w:r>
              <w:rPr>
                <w:rFonts w:cs="Arial"/>
                <w:szCs w:val="24"/>
              </w:rPr>
              <w:t>F</w:t>
            </w:r>
            <w:r w:rsidRPr="008D282D">
              <w:rPr>
                <w:rFonts w:cs="Arial"/>
                <w:szCs w:val="24"/>
              </w:rPr>
              <w:t xml:space="preserve">leet budget allocation will be taken directly from the </w:t>
            </w:r>
            <w:r>
              <w:rPr>
                <w:rFonts w:cs="Arial"/>
                <w:szCs w:val="24"/>
              </w:rPr>
              <w:t>council's</w:t>
            </w:r>
            <w:r w:rsidRPr="008D282D">
              <w:rPr>
                <w:rFonts w:cs="Arial"/>
                <w:szCs w:val="24"/>
              </w:rPr>
              <w:t xml:space="preserve"> Waste Manag</w:t>
            </w:r>
            <w:r>
              <w:rPr>
                <w:rFonts w:cs="Arial"/>
                <w:szCs w:val="24"/>
              </w:rPr>
              <w:t>ement revenue budget. Further detail is provided below.</w:t>
            </w:r>
          </w:p>
          <w:p w:rsidR="005C3718" w:rsidRPr="006A1B50" w:rsidP="002B6F11">
            <w:pPr>
              <w:autoSpaceDE w:val="0"/>
              <w:autoSpaceDN w:val="0"/>
              <w:adjustRightInd w:val="0"/>
              <w:jc w:val="both"/>
              <w:rPr>
                <w:rFonts w:ascii="Arial" w:hAnsi="Arial" w:cs="Arial"/>
                <w:sz w:val="24"/>
                <w:szCs w:val="24"/>
              </w:rPr>
            </w:pPr>
          </w:p>
          <w:p w:rsidR="001B2006" w:rsidRPr="006A1B50" w:rsidP="00F63667">
            <w:pPr>
              <w:autoSpaceDE w:val="0"/>
              <w:autoSpaceDN w:val="0"/>
              <w:adjustRightInd w:val="0"/>
              <w:spacing w:after="120"/>
              <w:jc w:val="both"/>
              <w:rPr>
                <w:rFonts w:ascii="Arial" w:hAnsi="Arial" w:cs="Arial"/>
                <w:sz w:val="24"/>
                <w:szCs w:val="24"/>
              </w:rPr>
            </w:pPr>
            <w:r w:rsidRPr="006A1B50">
              <w:rPr>
                <w:rFonts w:ascii="Arial" w:hAnsi="Arial" w:cs="Arial"/>
                <w:sz w:val="24"/>
                <w:szCs w:val="24"/>
              </w:rPr>
              <w:t xml:space="preserve">There is no commitment, or </w:t>
            </w:r>
            <w:r w:rsidRPr="006A1B50">
              <w:rPr>
                <w:rFonts w:ascii="Arial" w:hAnsi="Arial" w:cs="Arial"/>
                <w:sz w:val="24"/>
                <w:szCs w:val="24"/>
              </w:rPr>
              <w:t xml:space="preserve">guarantee of the value of the services and/or number of call-offs to be placed with the supplier appointed to the Framework. </w:t>
            </w:r>
          </w:p>
        </w:tc>
      </w:tr>
      <w:tr w:rsidTr="0040532B">
        <w:tblPrEx>
          <w:tblW w:w="0" w:type="auto"/>
          <w:tblLook w:val="04A0"/>
        </w:tblPrEx>
        <w:trPr>
          <w:trHeight w:val="2041"/>
        </w:trPr>
        <w:tc>
          <w:tcPr>
            <w:tcW w:w="9016" w:type="dxa"/>
          </w:tcPr>
          <w:p w:rsidR="00526FB2" w:rsidRPr="006A1B50" w:rsidP="00526FB2">
            <w:pPr>
              <w:jc w:val="both"/>
              <w:rPr>
                <w:rFonts w:ascii="Arial" w:hAnsi="Arial" w:cs="Arial"/>
                <w:b/>
                <w:sz w:val="24"/>
                <w:szCs w:val="24"/>
              </w:rPr>
            </w:pPr>
            <w:r w:rsidRPr="006A1B50">
              <w:rPr>
                <w:rFonts w:ascii="Arial" w:hAnsi="Arial" w:cs="Arial"/>
                <w:b/>
                <w:sz w:val="24"/>
                <w:szCs w:val="24"/>
              </w:rPr>
              <w:t>Contract Duration</w:t>
            </w:r>
          </w:p>
          <w:p w:rsidR="00394FF0" w:rsidRPr="006A1B50" w:rsidP="00394FF0">
            <w:pPr>
              <w:autoSpaceDE w:val="0"/>
              <w:autoSpaceDN w:val="0"/>
              <w:adjustRightInd w:val="0"/>
              <w:rPr>
                <w:rFonts w:ascii="Arial" w:hAnsi="Arial" w:cs="Arial"/>
                <w:sz w:val="24"/>
                <w:szCs w:val="24"/>
              </w:rPr>
            </w:pPr>
            <w:r w:rsidRPr="006A1B50">
              <w:rPr>
                <w:rFonts w:ascii="Arial" w:hAnsi="Arial" w:cs="Arial"/>
                <w:sz w:val="24"/>
                <w:szCs w:val="24"/>
              </w:rPr>
              <w:t xml:space="preserve">The Framework will be let for a period of four years from </w:t>
            </w:r>
            <w:r>
              <w:rPr>
                <w:rFonts w:ascii="Arial" w:hAnsi="Arial" w:cs="Arial"/>
                <w:sz w:val="24"/>
                <w:szCs w:val="24"/>
              </w:rPr>
              <w:t>16</w:t>
            </w:r>
            <w:r w:rsidRPr="006A1B50">
              <w:rPr>
                <w:rFonts w:ascii="Arial" w:hAnsi="Arial" w:cs="Arial"/>
                <w:sz w:val="24"/>
                <w:szCs w:val="24"/>
              </w:rPr>
              <w:t xml:space="preserve"> </w:t>
            </w:r>
            <w:r>
              <w:rPr>
                <w:rFonts w:ascii="Arial" w:hAnsi="Arial" w:cs="Arial"/>
                <w:sz w:val="24"/>
                <w:szCs w:val="24"/>
              </w:rPr>
              <w:t>December</w:t>
            </w:r>
            <w:r w:rsidRPr="006A1B50">
              <w:rPr>
                <w:rFonts w:ascii="Arial" w:hAnsi="Arial" w:cs="Arial"/>
                <w:sz w:val="24"/>
                <w:szCs w:val="24"/>
              </w:rPr>
              <w:t xml:space="preserve"> 2019 to </w:t>
            </w:r>
            <w:r>
              <w:rPr>
                <w:rFonts w:ascii="Arial" w:hAnsi="Arial" w:cs="Arial"/>
                <w:sz w:val="24"/>
                <w:szCs w:val="24"/>
              </w:rPr>
              <w:t>15</w:t>
            </w:r>
            <w:r w:rsidRPr="006A1B50">
              <w:rPr>
                <w:rFonts w:ascii="Arial" w:hAnsi="Arial" w:cs="Arial"/>
                <w:sz w:val="24"/>
                <w:szCs w:val="24"/>
              </w:rPr>
              <w:t xml:space="preserve"> </w:t>
            </w:r>
            <w:r>
              <w:rPr>
                <w:rFonts w:ascii="Arial" w:hAnsi="Arial" w:cs="Arial"/>
                <w:sz w:val="24"/>
                <w:szCs w:val="24"/>
              </w:rPr>
              <w:t>December</w:t>
            </w:r>
            <w:r w:rsidRPr="006A1B50">
              <w:rPr>
                <w:rFonts w:ascii="Arial" w:hAnsi="Arial" w:cs="Arial"/>
                <w:sz w:val="24"/>
                <w:szCs w:val="24"/>
              </w:rPr>
              <w:t xml:space="preserve"> 2023. </w:t>
            </w:r>
            <w:r>
              <w:rPr>
                <w:rFonts w:ascii="Arial" w:hAnsi="Arial" w:cs="Arial"/>
                <w:sz w:val="24"/>
                <w:szCs w:val="24"/>
              </w:rPr>
              <w:t>The contracts c</w:t>
            </w:r>
            <w:r>
              <w:rPr>
                <w:rFonts w:ascii="Arial" w:hAnsi="Arial" w:cs="Arial"/>
                <w:sz w:val="24"/>
                <w:szCs w:val="24"/>
              </w:rPr>
              <w:t xml:space="preserve">alled off from this framework will however be 5 years in length. </w:t>
            </w:r>
          </w:p>
          <w:p w:rsidR="00394FF0" w:rsidRPr="006A1B50" w:rsidP="00394FF0">
            <w:pPr>
              <w:autoSpaceDE w:val="0"/>
              <w:autoSpaceDN w:val="0"/>
              <w:adjustRightInd w:val="0"/>
              <w:rPr>
                <w:rFonts w:ascii="Arial" w:hAnsi="Arial" w:cs="Arial"/>
                <w:sz w:val="24"/>
                <w:szCs w:val="24"/>
              </w:rPr>
            </w:pPr>
          </w:p>
          <w:p w:rsidR="007A17A7" w:rsidRPr="006A1B50" w:rsidP="009D17A6">
            <w:pPr>
              <w:autoSpaceDE w:val="0"/>
              <w:autoSpaceDN w:val="0"/>
              <w:adjustRightInd w:val="0"/>
              <w:rPr>
                <w:rFonts w:ascii="Arial" w:hAnsi="Arial" w:cs="Arial"/>
                <w:sz w:val="24"/>
                <w:szCs w:val="24"/>
              </w:rPr>
            </w:pPr>
            <w:r w:rsidRPr="006A1B50">
              <w:rPr>
                <w:rFonts w:ascii="Arial" w:hAnsi="Arial" w:cs="Arial"/>
                <w:sz w:val="24"/>
                <w:szCs w:val="24"/>
              </w:rPr>
              <w:t xml:space="preserve">The Framework will contain a non-mutual termination clause for the </w:t>
            </w:r>
            <w:r>
              <w:rPr>
                <w:rFonts w:ascii="Arial" w:hAnsi="Arial" w:cs="Arial"/>
                <w:sz w:val="24"/>
                <w:szCs w:val="24"/>
              </w:rPr>
              <w:t xml:space="preserve">council's </w:t>
            </w:r>
            <w:r w:rsidRPr="006A1B50">
              <w:rPr>
                <w:rFonts w:ascii="Arial" w:hAnsi="Arial" w:cs="Arial"/>
                <w:sz w:val="24"/>
                <w:szCs w:val="24"/>
              </w:rPr>
              <w:t xml:space="preserve"> use enabling termination on twelve months' notice, whilst call-off lease orders may be terminated on three months' notice. </w:t>
            </w:r>
          </w:p>
        </w:tc>
      </w:tr>
      <w:tr w:rsidTr="0040532B">
        <w:tblPrEx>
          <w:tblW w:w="0" w:type="auto"/>
          <w:tblLook w:val="04A0"/>
        </w:tblPrEx>
        <w:trPr>
          <w:trHeight w:val="737"/>
        </w:trPr>
        <w:tc>
          <w:tcPr>
            <w:tcW w:w="9016" w:type="dxa"/>
          </w:tcPr>
          <w:p w:rsidR="00526FB2" w:rsidRPr="006A1B50" w:rsidP="00526FB2">
            <w:pPr>
              <w:jc w:val="both"/>
              <w:rPr>
                <w:rFonts w:ascii="Arial" w:hAnsi="Arial" w:cs="Arial"/>
                <w:b/>
                <w:sz w:val="24"/>
                <w:szCs w:val="24"/>
              </w:rPr>
            </w:pPr>
            <w:r w:rsidRPr="006A1B50">
              <w:rPr>
                <w:rFonts w:ascii="Arial" w:hAnsi="Arial" w:cs="Arial"/>
                <w:b/>
                <w:sz w:val="24"/>
                <w:szCs w:val="24"/>
              </w:rPr>
              <w:t>Lots</w:t>
            </w:r>
          </w:p>
          <w:p w:rsidR="00394FF0" w:rsidRPr="006A1B50" w:rsidP="0040532B">
            <w:pPr>
              <w:jc w:val="both"/>
              <w:rPr>
                <w:rFonts w:ascii="Arial" w:hAnsi="Arial" w:cs="Arial"/>
                <w:sz w:val="24"/>
                <w:szCs w:val="24"/>
              </w:rPr>
            </w:pPr>
            <w:r w:rsidRPr="006A1B50">
              <w:rPr>
                <w:rFonts w:ascii="Arial" w:hAnsi="Arial" w:cs="Arial"/>
                <w:sz w:val="24"/>
                <w:szCs w:val="24"/>
              </w:rPr>
              <w:t>Not applicable.</w:t>
            </w:r>
          </w:p>
        </w:tc>
      </w:tr>
      <w:tr w:rsidTr="00526FB2">
        <w:tblPrEx>
          <w:tblW w:w="0" w:type="auto"/>
          <w:tblLook w:val="04A0"/>
        </w:tblPrEx>
        <w:tc>
          <w:tcPr>
            <w:tcW w:w="9016" w:type="dxa"/>
          </w:tcPr>
          <w:p w:rsidR="00526FB2" w:rsidRPr="006A1B50" w:rsidP="00526FB2">
            <w:pPr>
              <w:jc w:val="both"/>
              <w:rPr>
                <w:rFonts w:ascii="Arial" w:hAnsi="Arial" w:cs="Arial"/>
                <w:b/>
                <w:sz w:val="24"/>
                <w:szCs w:val="24"/>
              </w:rPr>
            </w:pPr>
            <w:r w:rsidRPr="006A1B50">
              <w:rPr>
                <w:rFonts w:ascii="Arial" w:hAnsi="Arial" w:cs="Arial"/>
                <w:b/>
                <w:sz w:val="24"/>
                <w:szCs w:val="24"/>
              </w:rPr>
              <w:t>Evaluation</w:t>
            </w:r>
          </w:p>
          <w:p w:rsidR="00AB7A4E" w:rsidRPr="006A1B50" w:rsidP="00526FB2">
            <w:pPr>
              <w:jc w:val="both"/>
              <w:rPr>
                <w:rFonts w:ascii="Arial" w:hAnsi="Arial" w:cs="Arial"/>
                <w:b/>
                <w:sz w:val="24"/>
                <w:szCs w:val="24"/>
              </w:rPr>
            </w:pPr>
          </w:p>
          <w:tbl>
            <w:tblPr>
              <w:tblStyle w:val="TableGrid"/>
              <w:tblW w:w="0" w:type="auto"/>
              <w:tblLook w:val="04A0"/>
            </w:tblPr>
            <w:tblGrid>
              <w:gridCol w:w="4395"/>
              <w:gridCol w:w="4395"/>
            </w:tblGrid>
            <w:tr w:rsidTr="0040532B">
              <w:tblPrEx>
                <w:tblW w:w="0" w:type="auto"/>
                <w:tblLook w:val="04A0"/>
              </w:tblPrEx>
              <w:trPr>
                <w:trHeight w:val="349"/>
              </w:trPr>
              <w:tc>
                <w:tcPr>
                  <w:tcW w:w="4395" w:type="dxa"/>
                </w:tcPr>
                <w:p w:rsidR="00AB7A4E" w:rsidRPr="006A1B50" w:rsidP="0040532B">
                  <w:pPr>
                    <w:jc w:val="both"/>
                    <w:rPr>
                      <w:rFonts w:ascii="Arial" w:hAnsi="Arial" w:cs="Arial"/>
                      <w:b/>
                      <w:sz w:val="24"/>
                      <w:szCs w:val="24"/>
                    </w:rPr>
                  </w:pPr>
                  <w:r w:rsidRPr="006A1B50">
                    <w:rPr>
                      <w:rFonts w:ascii="Arial" w:hAnsi="Arial" w:cs="Arial"/>
                      <w:b/>
                      <w:bCs/>
                      <w:color w:val="000000"/>
                      <w:sz w:val="24"/>
                      <w:szCs w:val="24"/>
                    </w:rPr>
                    <w:t>Quality Criteria: 40%</w:t>
                  </w:r>
                </w:p>
              </w:tc>
              <w:tc>
                <w:tcPr>
                  <w:tcW w:w="4395" w:type="dxa"/>
                </w:tcPr>
                <w:p w:rsidR="00AB7A4E" w:rsidRPr="006A1B50" w:rsidP="0040532B">
                  <w:pPr>
                    <w:autoSpaceDE w:val="0"/>
                    <w:autoSpaceDN w:val="0"/>
                    <w:adjustRightInd w:val="0"/>
                    <w:rPr>
                      <w:rFonts w:ascii="Arial" w:hAnsi="Arial" w:cs="Arial"/>
                      <w:b/>
                      <w:sz w:val="24"/>
                      <w:szCs w:val="24"/>
                    </w:rPr>
                  </w:pPr>
                  <w:r w:rsidRPr="006A1B50">
                    <w:rPr>
                      <w:rFonts w:ascii="Arial" w:hAnsi="Arial" w:cs="Arial"/>
                      <w:b/>
                      <w:bCs/>
                      <w:color w:val="000000"/>
                      <w:sz w:val="24"/>
                      <w:szCs w:val="24"/>
                    </w:rPr>
                    <w:t>Financial Criteria: 60%</w:t>
                  </w:r>
                </w:p>
              </w:tc>
            </w:tr>
          </w:tbl>
          <w:p w:rsidR="00AB7A4E" w:rsidRPr="006A1B50" w:rsidP="00526FB2">
            <w:pPr>
              <w:jc w:val="both"/>
              <w:rPr>
                <w:rFonts w:ascii="Arial" w:hAnsi="Arial" w:cs="Arial"/>
                <w:b/>
                <w:sz w:val="24"/>
                <w:szCs w:val="24"/>
              </w:rPr>
            </w:pPr>
          </w:p>
          <w:p w:rsidR="00490173" w:rsidRPr="006A1B50" w:rsidP="00421F19">
            <w:pPr>
              <w:autoSpaceDE w:val="0"/>
              <w:autoSpaceDN w:val="0"/>
              <w:adjustRightInd w:val="0"/>
              <w:rPr>
                <w:rFonts w:ascii="Arial" w:hAnsi="Arial" w:cs="Arial"/>
                <w:sz w:val="24"/>
                <w:szCs w:val="24"/>
              </w:rPr>
            </w:pPr>
            <w:r w:rsidRPr="006A1B50">
              <w:rPr>
                <w:rFonts w:ascii="Arial" w:hAnsi="Arial" w:cs="Arial"/>
                <w:sz w:val="24"/>
                <w:szCs w:val="24"/>
              </w:rPr>
              <w:t>The Framework</w:t>
            </w:r>
            <w:r w:rsidRPr="006A1B50">
              <w:rPr>
                <w:rFonts w:ascii="Arial" w:hAnsi="Arial" w:cs="Arial"/>
                <w:sz w:val="24"/>
                <w:szCs w:val="24"/>
              </w:rPr>
              <w:t xml:space="preserve"> will be evaluated using the Crown Commercial Services Supplier Questionnaire which is compliant with the Public Contract Regulations 2015.</w:t>
            </w:r>
          </w:p>
          <w:p w:rsidR="007A17A7" w:rsidRPr="006A1B50" w:rsidP="00421F19">
            <w:pPr>
              <w:autoSpaceDE w:val="0"/>
              <w:autoSpaceDN w:val="0"/>
              <w:adjustRightInd w:val="0"/>
              <w:rPr>
                <w:rFonts w:ascii="Arial" w:hAnsi="Arial" w:cs="Arial"/>
                <w:sz w:val="24"/>
                <w:szCs w:val="24"/>
              </w:rPr>
            </w:pPr>
          </w:p>
          <w:p w:rsidR="00490173" w:rsidRPr="006A1B50" w:rsidP="00421F19">
            <w:pPr>
              <w:jc w:val="both"/>
              <w:rPr>
                <w:rFonts w:ascii="Arial" w:hAnsi="Arial" w:cs="Arial"/>
                <w:sz w:val="24"/>
                <w:szCs w:val="24"/>
              </w:rPr>
            </w:pPr>
            <w:r w:rsidRPr="006A1B50">
              <w:rPr>
                <w:rFonts w:ascii="Arial" w:hAnsi="Arial" w:cs="Arial"/>
                <w:sz w:val="24"/>
                <w:szCs w:val="24"/>
              </w:rPr>
              <w:t xml:space="preserve">Stage 1: The Supplier Questionnaire will evaluate suppliers against the following criteria: mandatory and </w:t>
            </w:r>
            <w:r w:rsidRPr="006A1B50">
              <w:rPr>
                <w:rFonts w:ascii="Arial" w:hAnsi="Arial" w:cs="Arial"/>
                <w:sz w:val="24"/>
                <w:szCs w:val="24"/>
              </w:rPr>
              <w:t xml:space="preserve">discretionary grounds to ascertain suppliers' financial status, technical capability questions, experience, and references, with particular reference to their ability to demonstrate their experience in operating in compliance with industry standards. Each </w:t>
            </w:r>
            <w:r w:rsidRPr="006A1B50">
              <w:rPr>
                <w:rFonts w:ascii="Arial" w:hAnsi="Arial" w:cs="Arial"/>
                <w:sz w:val="24"/>
                <w:szCs w:val="24"/>
              </w:rPr>
              <w:t>tenderer must pass this stage in order to proceed to Stage 2.</w:t>
            </w:r>
          </w:p>
          <w:p w:rsidR="002D0B38" w:rsidP="00421F19">
            <w:pPr>
              <w:jc w:val="both"/>
              <w:rPr>
                <w:rFonts w:ascii="Arial" w:hAnsi="Arial" w:cs="Arial"/>
                <w:sz w:val="24"/>
                <w:szCs w:val="24"/>
              </w:rPr>
            </w:pPr>
          </w:p>
          <w:p w:rsidR="00A2037B" w:rsidRPr="006A1B50" w:rsidP="00855408">
            <w:pPr>
              <w:jc w:val="both"/>
              <w:rPr>
                <w:rFonts w:ascii="Arial" w:hAnsi="Arial" w:cs="Arial"/>
                <w:sz w:val="24"/>
                <w:szCs w:val="24"/>
              </w:rPr>
            </w:pPr>
            <w:r w:rsidRPr="006A1B50">
              <w:rPr>
                <w:rFonts w:ascii="Arial" w:hAnsi="Arial" w:cs="Arial"/>
                <w:sz w:val="24"/>
                <w:szCs w:val="24"/>
              </w:rPr>
              <w:t>Stage 2: The evaluation will be based on 40% Quality Criteria, 60% Financial Criteria. The Quality Criteria will include social value at 10% of the overall weighting which considers environment</w:t>
            </w:r>
            <w:r w:rsidRPr="006A1B50">
              <w:rPr>
                <w:rFonts w:ascii="Arial" w:hAnsi="Arial" w:cs="Arial"/>
                <w:sz w:val="24"/>
                <w:szCs w:val="24"/>
              </w:rPr>
              <w:t xml:space="preserve">al concerns.  </w:t>
            </w:r>
          </w:p>
          <w:p w:rsidR="00A2037B" w:rsidRPr="006A1B50" w:rsidP="00855408">
            <w:pPr>
              <w:jc w:val="both"/>
              <w:rPr>
                <w:rFonts w:ascii="Arial" w:hAnsi="Arial" w:cs="Arial"/>
                <w:sz w:val="24"/>
                <w:szCs w:val="24"/>
              </w:rPr>
            </w:pPr>
          </w:p>
          <w:p w:rsidR="00B65005" w:rsidRPr="006A1B50" w:rsidP="00F63667">
            <w:pPr>
              <w:spacing w:after="120"/>
              <w:jc w:val="both"/>
              <w:rPr>
                <w:rFonts w:ascii="Arial" w:hAnsi="Arial" w:cs="Arial"/>
                <w:sz w:val="24"/>
                <w:szCs w:val="24"/>
              </w:rPr>
            </w:pPr>
            <w:r w:rsidRPr="006A1B50">
              <w:rPr>
                <w:rFonts w:ascii="Arial" w:hAnsi="Arial" w:cs="Arial"/>
                <w:sz w:val="24"/>
                <w:szCs w:val="24"/>
              </w:rPr>
              <w:t>The highest scoring tenderer will be appointed to the Framework.</w:t>
            </w:r>
          </w:p>
        </w:tc>
      </w:tr>
      <w:tr w:rsidTr="00526FB2">
        <w:tblPrEx>
          <w:tblW w:w="0" w:type="auto"/>
          <w:tblLook w:val="04A0"/>
        </w:tblPrEx>
        <w:tc>
          <w:tcPr>
            <w:tcW w:w="9016" w:type="dxa"/>
          </w:tcPr>
          <w:p w:rsidR="007A17A7" w:rsidRPr="006A1B50" w:rsidP="00526FB2">
            <w:pPr>
              <w:jc w:val="both"/>
              <w:rPr>
                <w:rFonts w:ascii="Arial" w:hAnsi="Arial" w:cs="Arial"/>
                <w:b/>
                <w:sz w:val="24"/>
                <w:szCs w:val="24"/>
              </w:rPr>
            </w:pPr>
            <w:r w:rsidRPr="006A1B50">
              <w:rPr>
                <w:rFonts w:ascii="Arial" w:hAnsi="Arial" w:cs="Arial"/>
                <w:b/>
                <w:sz w:val="24"/>
                <w:szCs w:val="24"/>
              </w:rPr>
              <w:t>Contract Detail</w:t>
            </w:r>
          </w:p>
          <w:p w:rsidR="00AB7A4E" w:rsidRPr="006A1B50" w:rsidP="00526FB2">
            <w:pPr>
              <w:jc w:val="both"/>
              <w:rPr>
                <w:rFonts w:ascii="Arial" w:hAnsi="Arial" w:cs="Arial"/>
                <w:b/>
                <w:sz w:val="24"/>
                <w:szCs w:val="24"/>
              </w:rPr>
            </w:pPr>
          </w:p>
          <w:p w:rsidR="0080629C" w:rsidRPr="006A1B50" w:rsidP="00E57CF6">
            <w:pPr>
              <w:pStyle w:val="ListParagraph"/>
              <w:numPr>
                <w:ilvl w:val="0"/>
                <w:numId w:val="4"/>
              </w:numPr>
              <w:jc w:val="both"/>
              <w:rPr>
                <w:rFonts w:ascii="Arial" w:hAnsi="Arial" w:cs="Arial"/>
                <w:szCs w:val="24"/>
              </w:rPr>
            </w:pPr>
            <w:r w:rsidRPr="006A1B50">
              <w:rPr>
                <w:rFonts w:ascii="Arial" w:hAnsi="Arial" w:cs="Arial"/>
                <w:sz w:val="24"/>
                <w:szCs w:val="24"/>
              </w:rPr>
              <w:t xml:space="preserve">Background – Lancashire Renewables Limited (the "Company") historically managed the contract for </w:t>
            </w:r>
            <w:r>
              <w:rPr>
                <w:rFonts w:ascii="Arial" w:hAnsi="Arial" w:cs="Arial"/>
                <w:sz w:val="24"/>
                <w:szCs w:val="24"/>
              </w:rPr>
              <w:t xml:space="preserve">the </w:t>
            </w:r>
            <w:r w:rsidRPr="006A1B50">
              <w:rPr>
                <w:rFonts w:ascii="Arial" w:hAnsi="Arial" w:cs="Arial"/>
                <w:sz w:val="24"/>
                <w:szCs w:val="24"/>
              </w:rPr>
              <w:t>transportation of wastes around the Council's network of</w:t>
            </w:r>
            <w:r w:rsidRPr="006A1B50">
              <w:rPr>
                <w:rFonts w:ascii="Arial" w:hAnsi="Arial" w:cs="Arial"/>
                <w:sz w:val="24"/>
                <w:szCs w:val="24"/>
              </w:rPr>
              <w:t xml:space="preserve"> waste transfer, processing and disposal facilities (the "Transport Contract"). The Transport Contract originated from the now terminated Waste PFI contract; and as such, the parties to the Transport Contract </w:t>
            </w:r>
            <w:r>
              <w:rPr>
                <w:rFonts w:ascii="Arial" w:hAnsi="Arial" w:cs="Arial"/>
                <w:sz w:val="24"/>
                <w:szCs w:val="24"/>
              </w:rPr>
              <w:t>were</w:t>
            </w:r>
            <w:r w:rsidRPr="006A1B50">
              <w:rPr>
                <w:rFonts w:ascii="Arial" w:hAnsi="Arial" w:cs="Arial"/>
                <w:sz w:val="24"/>
                <w:szCs w:val="24"/>
              </w:rPr>
              <w:t xml:space="preserve"> the Company and Viridor Lancashire Ltd ("V</w:t>
            </w:r>
            <w:r w:rsidRPr="006A1B50">
              <w:rPr>
                <w:rFonts w:ascii="Arial" w:hAnsi="Arial" w:cs="Arial"/>
                <w:sz w:val="24"/>
                <w:szCs w:val="24"/>
              </w:rPr>
              <w:t xml:space="preserve">iridor") the former PFI transport contractor. All costs for </w:t>
            </w:r>
            <w:r>
              <w:rPr>
                <w:rFonts w:ascii="Arial" w:hAnsi="Arial" w:cs="Arial"/>
                <w:sz w:val="24"/>
                <w:szCs w:val="24"/>
              </w:rPr>
              <w:t xml:space="preserve">the </w:t>
            </w:r>
            <w:r w:rsidRPr="006A1B50">
              <w:rPr>
                <w:rFonts w:ascii="Arial" w:hAnsi="Arial" w:cs="Arial"/>
                <w:sz w:val="24"/>
                <w:szCs w:val="24"/>
              </w:rPr>
              <w:t xml:space="preserve">transportation of waste under the Transport Contract </w:t>
            </w:r>
            <w:r>
              <w:rPr>
                <w:rFonts w:ascii="Arial" w:hAnsi="Arial" w:cs="Arial"/>
                <w:sz w:val="24"/>
                <w:szCs w:val="24"/>
              </w:rPr>
              <w:t>were</w:t>
            </w:r>
            <w:r w:rsidRPr="006A1B50">
              <w:rPr>
                <w:rFonts w:ascii="Arial" w:hAnsi="Arial" w:cs="Arial"/>
                <w:sz w:val="24"/>
                <w:szCs w:val="24"/>
              </w:rPr>
              <w:t xml:space="preserve"> passed direct to the Council. The Transport Contract expired on 31 May 2019 and the transport services </w:t>
            </w:r>
            <w:r>
              <w:rPr>
                <w:rFonts w:ascii="Arial" w:hAnsi="Arial" w:cs="Arial"/>
                <w:sz w:val="24"/>
                <w:szCs w:val="24"/>
              </w:rPr>
              <w:t>are</w:t>
            </w:r>
            <w:r w:rsidRPr="006A1B50">
              <w:rPr>
                <w:rFonts w:ascii="Arial" w:hAnsi="Arial" w:cs="Arial"/>
                <w:sz w:val="24"/>
                <w:szCs w:val="24"/>
              </w:rPr>
              <w:t xml:space="preserve"> now provided by the Company</w:t>
            </w:r>
            <w:r w:rsidRPr="006A1B50">
              <w:rPr>
                <w:rFonts w:ascii="Arial" w:hAnsi="Arial" w:cs="Arial"/>
                <w:sz w:val="24"/>
                <w:szCs w:val="24"/>
              </w:rPr>
              <w:t xml:space="preserve"> further to </w:t>
            </w:r>
            <w:r>
              <w:rPr>
                <w:rFonts w:ascii="Arial" w:hAnsi="Arial" w:cs="Arial"/>
                <w:sz w:val="24"/>
                <w:szCs w:val="24"/>
              </w:rPr>
              <w:t>the Council's</w:t>
            </w:r>
            <w:r w:rsidRPr="006A1B50">
              <w:rPr>
                <w:rFonts w:ascii="Arial" w:hAnsi="Arial" w:cs="Arial"/>
                <w:sz w:val="24"/>
                <w:szCs w:val="24"/>
              </w:rPr>
              <w:t xml:space="preserve"> </w:t>
            </w:r>
            <w:r>
              <w:rPr>
                <w:rFonts w:ascii="Arial" w:hAnsi="Arial" w:cs="Arial"/>
                <w:sz w:val="24"/>
                <w:szCs w:val="24"/>
              </w:rPr>
              <w:t>C</w:t>
            </w:r>
            <w:r w:rsidRPr="006A1B50">
              <w:rPr>
                <w:rFonts w:ascii="Arial" w:hAnsi="Arial" w:cs="Arial"/>
                <w:sz w:val="24"/>
                <w:szCs w:val="24"/>
              </w:rPr>
              <w:t>abinet approval dated 09 August 2018.</w:t>
            </w:r>
          </w:p>
          <w:p w:rsidR="0080629C" w:rsidRPr="006A1B50" w:rsidP="0040532B">
            <w:pPr>
              <w:pStyle w:val="ListParagraph"/>
              <w:jc w:val="both"/>
              <w:rPr>
                <w:rFonts w:ascii="Arial" w:hAnsi="Arial" w:cs="Arial"/>
                <w:sz w:val="24"/>
                <w:szCs w:val="24"/>
              </w:rPr>
            </w:pPr>
          </w:p>
          <w:p w:rsidR="0080629C" w:rsidRPr="006A1B50" w:rsidP="00E57CF6">
            <w:pPr>
              <w:pStyle w:val="ListParagraph"/>
              <w:numPr>
                <w:ilvl w:val="0"/>
                <w:numId w:val="4"/>
              </w:numPr>
              <w:jc w:val="both"/>
              <w:rPr>
                <w:rFonts w:ascii="Arial" w:hAnsi="Arial" w:cs="Arial"/>
                <w:sz w:val="24"/>
                <w:szCs w:val="24"/>
              </w:rPr>
            </w:pPr>
            <w:r>
              <w:rPr>
                <w:rFonts w:ascii="Arial" w:hAnsi="Arial" w:cs="Arial"/>
                <w:sz w:val="24"/>
                <w:szCs w:val="24"/>
              </w:rPr>
              <w:t>The Company</w:t>
            </w:r>
            <w:r w:rsidRPr="006A1B50">
              <w:rPr>
                <w:rFonts w:ascii="Arial" w:hAnsi="Arial" w:cs="Arial"/>
                <w:sz w:val="24"/>
                <w:szCs w:val="24"/>
              </w:rPr>
              <w:t xml:space="preserve"> now requests approval to proceed with its obligations to complete the seamless transfer of waste haulage services and undertake an OJEU compliant procurement exercise for the rep</w:t>
            </w:r>
            <w:r w:rsidRPr="006A1B50">
              <w:rPr>
                <w:rFonts w:ascii="Arial" w:hAnsi="Arial" w:cs="Arial"/>
                <w:sz w:val="24"/>
                <w:szCs w:val="24"/>
              </w:rPr>
              <w:t>lacement of the existing and aged waste haulage fleet (30 tractor units and trailers) that is currently in place on an interim basis and through an extended agreement with the incumbent lease and service provider.</w:t>
            </w:r>
          </w:p>
          <w:p w:rsidR="00E57CF6" w:rsidRPr="006A1B50" w:rsidP="00E57CF6">
            <w:pPr>
              <w:pStyle w:val="ListParagraph"/>
              <w:rPr>
                <w:rFonts w:ascii="Arial" w:hAnsi="Arial" w:cs="Arial"/>
                <w:sz w:val="24"/>
                <w:szCs w:val="24"/>
              </w:rPr>
            </w:pPr>
          </w:p>
          <w:p w:rsidR="00E57CF6" w:rsidRPr="006A1B50" w:rsidP="00E57CF6">
            <w:pPr>
              <w:pStyle w:val="ListParagraph"/>
              <w:numPr>
                <w:ilvl w:val="0"/>
                <w:numId w:val="4"/>
              </w:numPr>
              <w:jc w:val="both"/>
              <w:rPr>
                <w:rFonts w:ascii="Arial" w:hAnsi="Arial" w:cs="Arial"/>
                <w:b/>
                <w:sz w:val="24"/>
                <w:szCs w:val="24"/>
              </w:rPr>
            </w:pPr>
            <w:r w:rsidRPr="006A1B50">
              <w:rPr>
                <w:rFonts w:ascii="Arial" w:hAnsi="Arial" w:cs="Arial"/>
                <w:sz w:val="24"/>
                <w:szCs w:val="24"/>
              </w:rPr>
              <w:t xml:space="preserve">The waste haulage fleet requirements are </w:t>
            </w:r>
            <w:r w:rsidRPr="006A1B50">
              <w:rPr>
                <w:rFonts w:ascii="Arial" w:hAnsi="Arial" w:cs="Arial"/>
                <w:sz w:val="24"/>
                <w:szCs w:val="24"/>
              </w:rPr>
              <w:t>for 30 tractor units and their respective trailers units which will continue to provide essential waste haulage services around the County of Lancashire. As an essential part of the lease agreement, the supplier must also provide a comprehensive repair and</w:t>
            </w:r>
            <w:r w:rsidRPr="006A1B50">
              <w:rPr>
                <w:rFonts w:ascii="Arial" w:hAnsi="Arial" w:cs="Arial"/>
                <w:sz w:val="24"/>
                <w:szCs w:val="24"/>
              </w:rPr>
              <w:t xml:space="preserve"> maintenance service for the new fleet, to include tyre management and servicing arrangements.</w:t>
            </w:r>
          </w:p>
          <w:p w:rsidR="00E57CF6" w:rsidRPr="006A1B50" w:rsidP="00E57CF6">
            <w:pPr>
              <w:pStyle w:val="ListParagraph"/>
              <w:rPr>
                <w:rFonts w:ascii="Arial" w:hAnsi="Arial" w:cs="Arial"/>
                <w:b/>
                <w:sz w:val="24"/>
                <w:szCs w:val="24"/>
              </w:rPr>
            </w:pPr>
          </w:p>
          <w:p w:rsidR="00E57CF6" w:rsidRPr="006A1B50" w:rsidP="00E57CF6">
            <w:pPr>
              <w:pStyle w:val="ListParagraph"/>
              <w:numPr>
                <w:ilvl w:val="0"/>
                <w:numId w:val="4"/>
              </w:numPr>
              <w:jc w:val="both"/>
              <w:rPr>
                <w:rFonts w:ascii="Arial" w:hAnsi="Arial" w:cs="Arial"/>
                <w:b/>
                <w:sz w:val="24"/>
                <w:szCs w:val="24"/>
              </w:rPr>
            </w:pPr>
            <w:r w:rsidRPr="006A1B50">
              <w:rPr>
                <w:rFonts w:ascii="Arial" w:hAnsi="Arial" w:cs="Arial"/>
                <w:sz w:val="24"/>
                <w:szCs w:val="24"/>
              </w:rPr>
              <w:t>A single supplier Framework is recommended and the call-off lease orders are to be placed under the Framework over a five</w:t>
            </w:r>
            <w:r>
              <w:rPr>
                <w:rFonts w:ascii="Arial" w:hAnsi="Arial" w:cs="Arial"/>
                <w:sz w:val="24"/>
                <w:szCs w:val="24"/>
              </w:rPr>
              <w:t>-</w:t>
            </w:r>
            <w:r w:rsidRPr="006A1B50">
              <w:rPr>
                <w:rFonts w:ascii="Arial" w:hAnsi="Arial" w:cs="Arial"/>
                <w:sz w:val="24"/>
                <w:szCs w:val="24"/>
              </w:rPr>
              <w:t>year term.</w:t>
            </w:r>
          </w:p>
          <w:p w:rsidR="008552BF" w:rsidRPr="006A1B50" w:rsidP="0080629C">
            <w:pPr>
              <w:pStyle w:val="ListParagraph"/>
              <w:jc w:val="both"/>
              <w:rPr>
                <w:rFonts w:ascii="Arial" w:hAnsi="Arial" w:cs="Arial"/>
                <w:sz w:val="24"/>
                <w:szCs w:val="24"/>
              </w:rPr>
            </w:pPr>
          </w:p>
          <w:p w:rsidR="000837B1" w:rsidRPr="006A1B50" w:rsidP="00E57CF6">
            <w:pPr>
              <w:pStyle w:val="ListParagraph"/>
              <w:numPr>
                <w:ilvl w:val="0"/>
                <w:numId w:val="4"/>
              </w:numPr>
              <w:jc w:val="both"/>
              <w:rPr>
                <w:rFonts w:ascii="Arial" w:hAnsi="Arial" w:cs="Arial"/>
                <w:b/>
                <w:sz w:val="24"/>
                <w:szCs w:val="24"/>
              </w:rPr>
            </w:pPr>
            <w:r w:rsidRPr="006A1B50">
              <w:rPr>
                <w:rFonts w:ascii="Arial" w:hAnsi="Arial" w:cs="Arial"/>
                <w:sz w:val="24"/>
                <w:szCs w:val="24"/>
              </w:rPr>
              <w:t>New accountancy rules intr</w:t>
            </w:r>
            <w:r w:rsidRPr="006A1B50">
              <w:rPr>
                <w:rFonts w:ascii="Arial" w:hAnsi="Arial" w:cs="Arial"/>
                <w:sz w:val="24"/>
                <w:szCs w:val="24"/>
              </w:rPr>
              <w:t>oduced on 01</w:t>
            </w:r>
            <w:r w:rsidRPr="006A1B50">
              <w:rPr>
                <w:rFonts w:ascii="Arial" w:hAnsi="Arial" w:cs="Arial"/>
                <w:sz w:val="24"/>
                <w:szCs w:val="24"/>
                <w:vertAlign w:val="superscript"/>
              </w:rPr>
              <w:t xml:space="preserve"> </w:t>
            </w:r>
            <w:r w:rsidRPr="006A1B50">
              <w:rPr>
                <w:rFonts w:ascii="Arial" w:hAnsi="Arial" w:cs="Arial"/>
                <w:sz w:val="24"/>
                <w:szCs w:val="24"/>
              </w:rPr>
              <w:t>January 2019 (</w:t>
            </w:r>
            <w:r w:rsidRPr="006A1B50">
              <w:rPr>
                <w:rFonts w:ascii="Arial" w:hAnsi="Arial" w:cs="Arial"/>
                <w:color w:val="000000"/>
                <w:sz w:val="24"/>
                <w:szCs w:val="24"/>
              </w:rPr>
              <w:t>IFRS 16 - Leases: new financial reporting standard)</w:t>
            </w:r>
            <w:r w:rsidRPr="006A1B50">
              <w:rPr>
                <w:rFonts w:ascii="Arial" w:hAnsi="Arial" w:cs="Arial"/>
                <w:sz w:val="24"/>
                <w:szCs w:val="24"/>
              </w:rPr>
              <w:t xml:space="preserve"> means that the long term lease of the new waste transport fleet and furthermore any additional</w:t>
            </w:r>
            <w:r>
              <w:rPr>
                <w:rFonts w:ascii="Arial" w:hAnsi="Arial" w:cs="Arial"/>
                <w:sz w:val="24"/>
                <w:szCs w:val="24"/>
              </w:rPr>
              <w:t xml:space="preserve"> long-</w:t>
            </w:r>
            <w:r w:rsidRPr="006A1B50">
              <w:rPr>
                <w:rFonts w:ascii="Arial" w:hAnsi="Arial" w:cs="Arial"/>
                <w:sz w:val="24"/>
                <w:szCs w:val="24"/>
              </w:rPr>
              <w:t xml:space="preserve">term contract lease arrangements are now constituted as 'assets' and as such </w:t>
            </w:r>
            <w:r w:rsidRPr="006A1B50">
              <w:rPr>
                <w:rFonts w:ascii="Arial" w:hAnsi="Arial" w:cs="Arial"/>
                <w:sz w:val="24"/>
                <w:szCs w:val="24"/>
              </w:rPr>
              <w:t>the Company is unable to account for these within its balance sheet due to asset ownership and respective equity being held by the Council.</w:t>
            </w:r>
          </w:p>
          <w:p w:rsidR="007B2AAB" w:rsidRPr="006A1B50" w:rsidP="0040532B">
            <w:pPr>
              <w:pStyle w:val="ListParagraph"/>
              <w:jc w:val="both"/>
              <w:rPr>
                <w:rFonts w:ascii="Arial" w:hAnsi="Arial" w:cs="Arial"/>
                <w:b/>
                <w:sz w:val="24"/>
                <w:szCs w:val="24"/>
              </w:rPr>
            </w:pPr>
          </w:p>
          <w:p w:rsidR="00A0763E" w:rsidRPr="00F63667" w:rsidP="00E57CF6">
            <w:pPr>
              <w:pStyle w:val="ListParagraph"/>
              <w:numPr>
                <w:ilvl w:val="0"/>
                <w:numId w:val="4"/>
              </w:numPr>
              <w:jc w:val="both"/>
              <w:rPr>
                <w:rFonts w:ascii="Arial" w:hAnsi="Arial" w:cs="Arial"/>
                <w:b/>
                <w:sz w:val="24"/>
                <w:szCs w:val="24"/>
              </w:rPr>
            </w:pPr>
            <w:r w:rsidRPr="006A1B50">
              <w:rPr>
                <w:rFonts w:ascii="Arial" w:hAnsi="Arial" w:cs="Arial"/>
                <w:sz w:val="24"/>
                <w:szCs w:val="24"/>
              </w:rPr>
              <w:t>Therefore, rather than the Company being the Contracting Authority as originally envisaged within the initial  stag</w:t>
            </w:r>
            <w:r w:rsidRPr="006A1B50">
              <w:rPr>
                <w:rFonts w:ascii="Arial" w:hAnsi="Arial" w:cs="Arial"/>
                <w:sz w:val="24"/>
                <w:szCs w:val="24"/>
              </w:rPr>
              <w:t>es of the tender strategy review, it is now necessary that the tender exercise is undertaken by the Council and with the Council being named as the Contracting Authority rather than the Company. With these changes, approval must be sought in accordance wit</w:t>
            </w:r>
            <w:r w:rsidRPr="006A1B50">
              <w:rPr>
                <w:rFonts w:ascii="Arial" w:hAnsi="Arial" w:cs="Arial"/>
                <w:sz w:val="24"/>
                <w:szCs w:val="24"/>
              </w:rPr>
              <w:t>h the Council's internal governance procedures.</w:t>
            </w:r>
          </w:p>
          <w:p w:rsidR="006A1B50" w:rsidRPr="00F63667" w:rsidP="00F63667">
            <w:pPr>
              <w:pStyle w:val="ListParagraph"/>
              <w:rPr>
                <w:rFonts w:ascii="Arial" w:hAnsi="Arial" w:cs="Arial"/>
                <w:b/>
                <w:sz w:val="24"/>
                <w:szCs w:val="24"/>
              </w:rPr>
            </w:pPr>
          </w:p>
          <w:p w:rsidR="00E57CF6" w:rsidRPr="006A1B50" w:rsidP="0007214C">
            <w:pPr>
              <w:pStyle w:val="ListParagraph"/>
              <w:numPr>
                <w:ilvl w:val="0"/>
                <w:numId w:val="4"/>
              </w:numPr>
              <w:jc w:val="both"/>
              <w:rPr>
                <w:rFonts w:ascii="Arial" w:hAnsi="Arial" w:cs="Arial"/>
                <w:b/>
                <w:sz w:val="24"/>
                <w:szCs w:val="24"/>
              </w:rPr>
            </w:pPr>
            <w:r>
              <w:rPr>
                <w:rFonts w:ascii="Arial" w:hAnsi="Arial" w:cs="Arial"/>
                <w:sz w:val="24"/>
                <w:szCs w:val="24"/>
              </w:rPr>
              <w:t xml:space="preserve">In terms of the Council's accountancy treatment of </w:t>
            </w:r>
            <w:r w:rsidRPr="0007214C">
              <w:rPr>
                <w:rFonts w:ascii="Arial" w:hAnsi="Arial" w:cs="Arial"/>
                <w:sz w:val="24"/>
                <w:szCs w:val="24"/>
              </w:rPr>
              <w:t>the lease arrangement</w:t>
            </w:r>
            <w:r>
              <w:rPr>
                <w:rFonts w:ascii="Arial" w:hAnsi="Arial" w:cs="Arial"/>
                <w:sz w:val="24"/>
                <w:szCs w:val="24"/>
              </w:rPr>
              <w:t>, it</w:t>
            </w:r>
            <w:r w:rsidRPr="0007214C">
              <w:rPr>
                <w:rFonts w:ascii="Arial" w:hAnsi="Arial" w:cs="Arial"/>
                <w:sz w:val="24"/>
                <w:szCs w:val="24"/>
              </w:rPr>
              <w:t xml:space="preserve"> is classified as a financ</w:t>
            </w:r>
            <w:r>
              <w:rPr>
                <w:rFonts w:ascii="Arial" w:hAnsi="Arial" w:cs="Arial"/>
                <w:sz w:val="24"/>
                <w:szCs w:val="24"/>
              </w:rPr>
              <w:t>e lease that is included within the Council's capital programme</w:t>
            </w:r>
            <w:r w:rsidRPr="0007214C">
              <w:rPr>
                <w:rFonts w:ascii="Arial" w:hAnsi="Arial" w:cs="Arial"/>
                <w:sz w:val="24"/>
                <w:szCs w:val="24"/>
              </w:rPr>
              <w:t>.</w:t>
            </w:r>
            <w:r>
              <w:rPr>
                <w:rFonts w:ascii="Arial" w:hAnsi="Arial" w:cs="Arial"/>
                <w:sz w:val="24"/>
                <w:szCs w:val="24"/>
              </w:rPr>
              <w:t xml:space="preserve"> </w:t>
            </w:r>
            <w:r w:rsidRPr="00F63667">
              <w:rPr>
                <w:rFonts w:ascii="Arial" w:hAnsi="Arial" w:cs="Arial"/>
                <w:sz w:val="24"/>
                <w:szCs w:val="24"/>
              </w:rPr>
              <w:t>On 06 August 2019, this matter was prese</w:t>
            </w:r>
            <w:r w:rsidRPr="00F63667">
              <w:rPr>
                <w:rFonts w:ascii="Arial" w:hAnsi="Arial" w:cs="Arial"/>
                <w:sz w:val="24"/>
                <w:szCs w:val="24"/>
              </w:rPr>
              <w:t xml:space="preserve">nted to the Council's Capital Board who </w:t>
            </w:r>
            <w:r>
              <w:rPr>
                <w:rFonts w:ascii="Arial" w:hAnsi="Arial" w:cs="Arial"/>
                <w:sz w:val="24"/>
                <w:szCs w:val="24"/>
              </w:rPr>
              <w:t xml:space="preserve">agreed to </w:t>
            </w:r>
            <w:r w:rsidRPr="00F63667">
              <w:rPr>
                <w:rFonts w:ascii="Arial" w:hAnsi="Arial" w:cs="Arial"/>
                <w:sz w:val="24"/>
                <w:szCs w:val="24"/>
              </w:rPr>
              <w:t xml:space="preserve">support the </w:t>
            </w:r>
            <w:r>
              <w:rPr>
                <w:rFonts w:ascii="Arial" w:hAnsi="Arial" w:cs="Arial"/>
                <w:sz w:val="24"/>
                <w:szCs w:val="24"/>
              </w:rPr>
              <w:t xml:space="preserve">proposal which can be funded from existing budget provision within the </w:t>
            </w:r>
            <w:r w:rsidRPr="00F63667">
              <w:rPr>
                <w:rFonts w:ascii="Arial" w:hAnsi="Arial" w:cs="Arial"/>
                <w:sz w:val="24"/>
                <w:szCs w:val="24"/>
              </w:rPr>
              <w:t>Waste Management Service revenue budget</w:t>
            </w:r>
            <w:r>
              <w:rPr>
                <w:rFonts w:ascii="Arial" w:hAnsi="Arial" w:cs="Arial"/>
                <w:sz w:val="24"/>
                <w:szCs w:val="24"/>
              </w:rPr>
              <w:t>,</w:t>
            </w:r>
            <w:r w:rsidRPr="00F63667">
              <w:rPr>
                <w:rFonts w:ascii="Arial" w:hAnsi="Arial" w:cs="Arial"/>
                <w:sz w:val="24"/>
                <w:szCs w:val="24"/>
              </w:rPr>
              <w:t xml:space="preserve"> </w:t>
            </w:r>
            <w:r>
              <w:rPr>
                <w:rFonts w:ascii="Arial" w:hAnsi="Arial" w:cs="Arial"/>
                <w:sz w:val="24"/>
                <w:szCs w:val="24"/>
              </w:rPr>
              <w:t xml:space="preserve">meaning there is no requirement for additional funding. </w:t>
            </w:r>
          </w:p>
          <w:p w:rsidR="00E57CF6" w:rsidRPr="006A1B50" w:rsidP="0040532B">
            <w:pPr>
              <w:pStyle w:val="ListParagraph"/>
              <w:jc w:val="both"/>
              <w:rPr>
                <w:rFonts w:ascii="Arial" w:hAnsi="Arial" w:cs="Arial"/>
                <w:b/>
                <w:sz w:val="24"/>
                <w:szCs w:val="24"/>
              </w:rPr>
            </w:pPr>
          </w:p>
          <w:p w:rsidR="007B2AAB" w:rsidRPr="006A1B50" w:rsidP="00E57CF6">
            <w:pPr>
              <w:pStyle w:val="ListParagraph"/>
              <w:numPr>
                <w:ilvl w:val="0"/>
                <w:numId w:val="4"/>
              </w:numPr>
              <w:jc w:val="both"/>
              <w:rPr>
                <w:rFonts w:ascii="Arial" w:hAnsi="Arial" w:cs="Arial"/>
                <w:b/>
                <w:sz w:val="24"/>
                <w:szCs w:val="24"/>
              </w:rPr>
            </w:pPr>
            <w:r w:rsidRPr="006A1B50">
              <w:rPr>
                <w:rFonts w:ascii="Arial" w:hAnsi="Arial" w:cs="Arial"/>
                <w:sz w:val="24"/>
                <w:szCs w:val="24"/>
              </w:rPr>
              <w:t>The tender is schedu</w:t>
            </w:r>
            <w:r w:rsidRPr="006A1B50">
              <w:rPr>
                <w:rFonts w:ascii="Arial" w:hAnsi="Arial" w:cs="Arial"/>
                <w:sz w:val="24"/>
                <w:szCs w:val="24"/>
              </w:rPr>
              <w:t xml:space="preserve">led to be advertised </w:t>
            </w:r>
            <w:r>
              <w:rPr>
                <w:rFonts w:ascii="Arial" w:hAnsi="Arial" w:cs="Arial"/>
                <w:sz w:val="24"/>
                <w:szCs w:val="24"/>
              </w:rPr>
              <w:t>as soon as possible in September 2019 subject to prior Cabinet approval being received</w:t>
            </w:r>
            <w:r w:rsidRPr="006A1B50">
              <w:rPr>
                <w:rFonts w:ascii="Arial" w:hAnsi="Arial" w:cs="Arial"/>
                <w:sz w:val="24"/>
                <w:szCs w:val="24"/>
              </w:rPr>
              <w:t xml:space="preserve">, with the Framework being awarded and lease orders placed by </w:t>
            </w:r>
            <w:r>
              <w:rPr>
                <w:rFonts w:ascii="Arial" w:hAnsi="Arial" w:cs="Arial"/>
                <w:sz w:val="24"/>
                <w:szCs w:val="24"/>
              </w:rPr>
              <w:t>mid-December</w:t>
            </w:r>
            <w:r w:rsidRPr="006A1B50">
              <w:rPr>
                <w:rFonts w:ascii="Arial" w:hAnsi="Arial" w:cs="Arial"/>
                <w:sz w:val="24"/>
                <w:szCs w:val="24"/>
              </w:rPr>
              <w:t xml:space="preserve"> 2019. This will allow sufficient lead-time for the leased equipment to be </w:t>
            </w:r>
            <w:r w:rsidRPr="006A1B50">
              <w:rPr>
                <w:rFonts w:ascii="Arial" w:hAnsi="Arial" w:cs="Arial"/>
                <w:sz w:val="24"/>
                <w:szCs w:val="24"/>
              </w:rPr>
              <w:t xml:space="preserve">manufactured and delivered for operations </w:t>
            </w:r>
            <w:r w:rsidRPr="00896A20">
              <w:rPr>
                <w:rFonts w:ascii="Arial" w:hAnsi="Arial" w:cs="Arial"/>
                <w:sz w:val="24"/>
                <w:szCs w:val="24"/>
              </w:rPr>
              <w:t xml:space="preserve">to </w:t>
            </w:r>
            <w:r w:rsidRPr="00FF7F58">
              <w:rPr>
                <w:rFonts w:ascii="Arial" w:hAnsi="Arial" w:cs="Arial"/>
                <w:sz w:val="24"/>
                <w:szCs w:val="24"/>
              </w:rPr>
              <w:t>commence on or around the 01 November 2020</w:t>
            </w:r>
            <w:r w:rsidRPr="00896A20">
              <w:rPr>
                <w:rFonts w:ascii="Arial" w:hAnsi="Arial" w:cs="Arial"/>
                <w:sz w:val="24"/>
                <w:szCs w:val="24"/>
              </w:rPr>
              <w:t>.</w:t>
            </w:r>
            <w:r w:rsidRPr="006A1B50">
              <w:rPr>
                <w:rFonts w:ascii="Arial" w:hAnsi="Arial" w:cs="Arial"/>
                <w:sz w:val="24"/>
                <w:szCs w:val="24"/>
              </w:rPr>
              <w:t xml:space="preserve"> It is therefore requested that approval to proceed with the advertisement of the tender is granted by the Leader of the County Council. </w:t>
            </w:r>
          </w:p>
          <w:p w:rsidR="00E24DB3" w:rsidRPr="006A1B50" w:rsidP="00E24DB3">
            <w:pPr>
              <w:jc w:val="both"/>
              <w:rPr>
                <w:rFonts w:ascii="Arial" w:hAnsi="Arial" w:cs="Arial"/>
                <w:b/>
                <w:sz w:val="24"/>
                <w:szCs w:val="24"/>
              </w:rPr>
            </w:pPr>
          </w:p>
          <w:p w:rsidR="00CA448B" w:rsidRPr="006A1B50" w:rsidP="00CA448B">
            <w:pPr>
              <w:jc w:val="both"/>
              <w:rPr>
                <w:rFonts w:ascii="Arial" w:hAnsi="Arial" w:cs="Arial"/>
                <w:b/>
                <w:sz w:val="24"/>
                <w:szCs w:val="24"/>
              </w:rPr>
            </w:pPr>
            <w:r w:rsidRPr="006A1B50">
              <w:rPr>
                <w:rFonts w:ascii="Arial" w:hAnsi="Arial" w:cs="Arial"/>
                <w:b/>
                <w:sz w:val="24"/>
                <w:szCs w:val="24"/>
              </w:rPr>
              <w:t xml:space="preserve">Review of Third Party </w:t>
            </w:r>
            <w:r w:rsidRPr="006A1B50">
              <w:rPr>
                <w:rFonts w:ascii="Arial" w:hAnsi="Arial" w:cs="Arial"/>
                <w:b/>
                <w:sz w:val="24"/>
                <w:szCs w:val="24"/>
              </w:rPr>
              <w:t>Frameworks</w:t>
            </w:r>
          </w:p>
          <w:p w:rsidR="00C57E64" w:rsidRPr="006A1B50" w:rsidP="00CA448B">
            <w:pPr>
              <w:jc w:val="both"/>
              <w:rPr>
                <w:rFonts w:ascii="Arial" w:hAnsi="Arial" w:cs="Arial"/>
                <w:b/>
                <w:sz w:val="24"/>
                <w:szCs w:val="24"/>
              </w:rPr>
            </w:pPr>
          </w:p>
          <w:p w:rsidR="007A17A7" w:rsidRPr="006A1B50" w:rsidP="00873608">
            <w:pPr>
              <w:spacing w:after="120"/>
              <w:jc w:val="both"/>
              <w:rPr>
                <w:rFonts w:ascii="Arial" w:hAnsi="Arial" w:cs="Arial"/>
                <w:sz w:val="24"/>
                <w:szCs w:val="24"/>
              </w:rPr>
            </w:pPr>
            <w:r w:rsidRPr="006A1B50">
              <w:rPr>
                <w:rFonts w:ascii="Arial" w:hAnsi="Arial" w:cs="Arial"/>
                <w:sz w:val="24"/>
                <w:szCs w:val="24"/>
              </w:rPr>
              <w:t xml:space="preserve">There are a number of third party frameworks available. However, after an extensive review of the options available it has been concluded that conducting a bespoke tender is more likely </w:t>
            </w:r>
            <w:r>
              <w:rPr>
                <w:rFonts w:ascii="Arial" w:hAnsi="Arial" w:cs="Arial"/>
                <w:sz w:val="24"/>
                <w:szCs w:val="24"/>
              </w:rPr>
              <w:t xml:space="preserve">to </w:t>
            </w:r>
            <w:r w:rsidRPr="006A1B50">
              <w:rPr>
                <w:rFonts w:ascii="Arial" w:hAnsi="Arial" w:cs="Arial"/>
                <w:sz w:val="24"/>
                <w:szCs w:val="24"/>
              </w:rPr>
              <w:t>generate savings via increased competition and avoiding</w:t>
            </w:r>
            <w:r w:rsidRPr="006A1B50">
              <w:rPr>
                <w:rFonts w:ascii="Arial" w:hAnsi="Arial" w:cs="Arial"/>
                <w:sz w:val="24"/>
                <w:szCs w:val="24"/>
              </w:rPr>
              <w:t xml:space="preserve"> the indirect additional costs which tenderers add onto their prices on third party frameworks. The savings estimate from the latter point alone are 0.5</w:t>
            </w:r>
            <w:r>
              <w:rPr>
                <w:rFonts w:ascii="Arial" w:hAnsi="Arial" w:cs="Arial"/>
                <w:sz w:val="24"/>
                <w:szCs w:val="24"/>
              </w:rPr>
              <w:t xml:space="preserve"> </w:t>
            </w:r>
            <w:r w:rsidRPr="006A1B50">
              <w:rPr>
                <w:rFonts w:ascii="Arial" w:hAnsi="Arial" w:cs="Arial"/>
                <w:sz w:val="24"/>
                <w:szCs w:val="24"/>
              </w:rPr>
              <w:t>-</w:t>
            </w:r>
            <w:r>
              <w:rPr>
                <w:rFonts w:ascii="Arial" w:hAnsi="Arial" w:cs="Arial"/>
                <w:sz w:val="24"/>
                <w:szCs w:val="24"/>
              </w:rPr>
              <w:t xml:space="preserve"> </w:t>
            </w:r>
            <w:r w:rsidRPr="006A1B50">
              <w:rPr>
                <w:rFonts w:ascii="Arial" w:hAnsi="Arial" w:cs="Arial"/>
                <w:sz w:val="24"/>
                <w:szCs w:val="24"/>
              </w:rPr>
              <w:t>2% of the contract value (approximately £18,500 per annum). Market engagement undertaken further just</w:t>
            </w:r>
            <w:r w:rsidRPr="006A1B50">
              <w:rPr>
                <w:rFonts w:ascii="Arial" w:hAnsi="Arial" w:cs="Arial"/>
                <w:sz w:val="24"/>
                <w:szCs w:val="24"/>
              </w:rPr>
              <w:t xml:space="preserve">ifies this position. </w:t>
            </w:r>
          </w:p>
        </w:tc>
      </w:tr>
    </w:tbl>
    <w:p w:rsidR="00C14BCD"/>
    <w:p w:rsidR="00C14BCD">
      <w:r>
        <w:br w:type="page"/>
      </w:r>
    </w:p>
    <w:tbl>
      <w:tblPr>
        <w:tblStyle w:val="TableGrid"/>
        <w:tblW w:w="0" w:type="auto"/>
        <w:tblLook w:val="04A0"/>
      </w:tblPr>
      <w:tblGrid>
        <w:gridCol w:w="9016"/>
      </w:tblGrid>
      <w:tr w:rsidTr="002F48B3">
        <w:tblPrEx>
          <w:tblW w:w="0" w:type="auto"/>
          <w:tblLook w:val="04A0"/>
        </w:tblPrEx>
        <w:trPr>
          <w:trHeight w:val="737"/>
        </w:trPr>
        <w:tc>
          <w:tcPr>
            <w:tcW w:w="9016" w:type="dxa"/>
          </w:tcPr>
          <w:p w:rsidR="00C14BCD" w:rsidRPr="006A1B50" w:rsidP="002F48B3">
            <w:pPr>
              <w:jc w:val="both"/>
              <w:rPr>
                <w:rFonts w:ascii="Arial" w:hAnsi="Arial" w:cs="Arial"/>
                <w:b/>
                <w:sz w:val="24"/>
                <w:szCs w:val="24"/>
              </w:rPr>
            </w:pPr>
            <w:r w:rsidRPr="006A1B50">
              <w:rPr>
                <w:rFonts w:ascii="Arial" w:hAnsi="Arial" w:cs="Arial"/>
                <w:b/>
                <w:sz w:val="24"/>
                <w:szCs w:val="24"/>
              </w:rPr>
              <w:t>Procurement Title</w:t>
            </w:r>
          </w:p>
          <w:p w:rsidR="00C14BCD" w:rsidP="002F48B3">
            <w:pPr>
              <w:autoSpaceDE w:val="0"/>
              <w:autoSpaceDN w:val="0"/>
              <w:adjustRightInd w:val="0"/>
              <w:rPr>
                <w:rFonts w:ascii="Arial" w:hAnsi="Arial" w:cs="Arial"/>
                <w:sz w:val="24"/>
                <w:szCs w:val="24"/>
              </w:rPr>
            </w:pPr>
            <w:r>
              <w:rPr>
                <w:rFonts w:ascii="Arial" w:hAnsi="Arial" w:cs="Arial"/>
                <w:sz w:val="24"/>
                <w:szCs w:val="24"/>
              </w:rPr>
              <w:t xml:space="preserve">Surface Carriageway Road Planing – Framework Agreement       </w:t>
            </w:r>
          </w:p>
          <w:p w:rsidR="00C14BCD" w:rsidRPr="006A1B50" w:rsidP="002F48B3">
            <w:pPr>
              <w:rPr>
                <w:rFonts w:ascii="Arial" w:hAnsi="Arial" w:cs="Arial"/>
              </w:rPr>
            </w:pPr>
          </w:p>
        </w:tc>
      </w:tr>
      <w:tr w:rsidTr="002F48B3">
        <w:tblPrEx>
          <w:tblW w:w="0" w:type="auto"/>
          <w:tblLook w:val="04A0"/>
        </w:tblPrEx>
        <w:trPr>
          <w:trHeight w:val="737"/>
        </w:trPr>
        <w:tc>
          <w:tcPr>
            <w:tcW w:w="9016" w:type="dxa"/>
          </w:tcPr>
          <w:p w:rsidR="00C14BCD" w:rsidRPr="006A1B50" w:rsidP="00D562F5">
            <w:pPr>
              <w:jc w:val="both"/>
              <w:rPr>
                <w:rFonts w:ascii="Arial" w:hAnsi="Arial" w:cs="Arial"/>
              </w:rPr>
            </w:pPr>
            <w:r w:rsidRPr="006A1B50">
              <w:rPr>
                <w:rFonts w:ascii="Arial" w:hAnsi="Arial" w:cs="Arial"/>
                <w:b/>
                <w:sz w:val="24"/>
                <w:szCs w:val="24"/>
              </w:rPr>
              <w:t>Procurement Optio</w:t>
            </w:r>
            <w:r>
              <w:rPr>
                <w:rFonts w:ascii="Arial" w:hAnsi="Arial" w:cs="Arial"/>
                <w:b/>
                <w:sz w:val="24"/>
                <w:szCs w:val="24"/>
              </w:rPr>
              <w:t>n</w:t>
            </w:r>
            <w:r>
              <w:rPr>
                <w:rFonts w:ascii="ArialMT" w:hAnsi="ArialMT" w:cs="ArialMT"/>
                <w:color w:val="000000"/>
                <w:sz w:val="24"/>
                <w:szCs w:val="24"/>
              </w:rPr>
              <w:t xml:space="preserve"> Open </w:t>
            </w:r>
            <w:r w:rsidRPr="006A1B50">
              <w:rPr>
                <w:rFonts w:ascii="Arial" w:hAnsi="Arial" w:cs="Arial"/>
                <w:sz w:val="24"/>
                <w:szCs w:val="24"/>
              </w:rPr>
              <w:t>Procedure compliant with the Public Contract Regulations 2015</w:t>
            </w:r>
          </w:p>
        </w:tc>
      </w:tr>
      <w:tr w:rsidTr="002F48B3">
        <w:tblPrEx>
          <w:tblW w:w="0" w:type="auto"/>
          <w:tblLook w:val="04A0"/>
        </w:tblPrEx>
        <w:trPr>
          <w:trHeight w:val="737"/>
        </w:trPr>
        <w:tc>
          <w:tcPr>
            <w:tcW w:w="9016" w:type="dxa"/>
          </w:tcPr>
          <w:p w:rsidR="00C14BCD" w:rsidRPr="006A1B50" w:rsidP="002F48B3">
            <w:pPr>
              <w:jc w:val="both"/>
              <w:rPr>
                <w:rFonts w:ascii="Arial" w:hAnsi="Arial" w:cs="Arial"/>
                <w:b/>
                <w:sz w:val="24"/>
                <w:szCs w:val="24"/>
              </w:rPr>
            </w:pPr>
            <w:r w:rsidRPr="006A1B50">
              <w:rPr>
                <w:rFonts w:ascii="Arial" w:hAnsi="Arial" w:cs="Arial"/>
                <w:b/>
                <w:sz w:val="24"/>
                <w:szCs w:val="24"/>
              </w:rPr>
              <w:t>New or Existing Provision</w:t>
            </w:r>
          </w:p>
          <w:p w:rsidR="00C14BCD" w:rsidP="002F48B3">
            <w:pPr>
              <w:autoSpaceDE w:val="0"/>
              <w:autoSpaceDN w:val="0"/>
              <w:adjustRightInd w:val="0"/>
              <w:rPr>
                <w:rFonts w:ascii="ArialMT" w:hAnsi="ArialMT" w:cs="ArialMT"/>
                <w:color w:val="000000"/>
                <w:sz w:val="24"/>
                <w:szCs w:val="24"/>
              </w:rPr>
            </w:pPr>
            <w:r>
              <w:rPr>
                <w:rFonts w:ascii="ArialMT" w:hAnsi="ArialMT" w:cs="ArialMT"/>
                <w:color w:val="000000"/>
                <w:sz w:val="24"/>
                <w:szCs w:val="24"/>
              </w:rPr>
              <w:t>To replace existing provision</w:t>
            </w:r>
          </w:p>
          <w:p w:rsidR="00C14BCD" w:rsidRPr="006A1B50" w:rsidP="002F48B3">
            <w:pPr>
              <w:rPr>
                <w:rFonts w:ascii="Arial" w:hAnsi="Arial" w:cs="Arial"/>
              </w:rPr>
            </w:pPr>
          </w:p>
        </w:tc>
      </w:tr>
      <w:tr w:rsidTr="002F48B3">
        <w:tblPrEx>
          <w:tblW w:w="0" w:type="auto"/>
          <w:tblLook w:val="04A0"/>
        </w:tblPrEx>
        <w:trPr>
          <w:trHeight w:val="2891"/>
        </w:trPr>
        <w:tc>
          <w:tcPr>
            <w:tcW w:w="9016" w:type="dxa"/>
          </w:tcPr>
          <w:p w:rsidR="00C14BCD" w:rsidRPr="006A1B50" w:rsidP="002F48B3">
            <w:pPr>
              <w:jc w:val="both"/>
              <w:rPr>
                <w:rFonts w:ascii="Arial" w:hAnsi="Arial" w:cs="Arial"/>
                <w:b/>
                <w:sz w:val="24"/>
                <w:szCs w:val="24"/>
              </w:rPr>
            </w:pPr>
            <w:r w:rsidRPr="006A1B50">
              <w:rPr>
                <w:rFonts w:ascii="Arial" w:hAnsi="Arial" w:cs="Arial"/>
                <w:b/>
                <w:sz w:val="24"/>
                <w:szCs w:val="24"/>
              </w:rPr>
              <w:t>Estimated Annual Contract Value and Funding Arrangements</w:t>
            </w:r>
          </w:p>
          <w:p w:rsidR="00C14BCD" w:rsidRPr="006A1B50" w:rsidP="002F48B3">
            <w:pPr>
              <w:autoSpaceDE w:val="0"/>
              <w:autoSpaceDN w:val="0"/>
              <w:adjustRightInd w:val="0"/>
              <w:rPr>
                <w:rFonts w:ascii="Arial" w:hAnsi="Arial" w:cs="Arial"/>
                <w:color w:val="000000"/>
                <w:sz w:val="24"/>
                <w:szCs w:val="24"/>
              </w:rPr>
            </w:pPr>
            <w:r w:rsidRPr="006A1B50">
              <w:rPr>
                <w:rFonts w:ascii="Arial" w:hAnsi="Arial" w:cs="Arial"/>
                <w:color w:val="000000"/>
                <w:sz w:val="24"/>
                <w:szCs w:val="24"/>
              </w:rPr>
              <w:t xml:space="preserve">The estimated annual value is </w:t>
            </w:r>
            <w:r w:rsidRPr="006A1B50">
              <w:rPr>
                <w:rFonts w:ascii="Arial" w:hAnsi="Arial" w:cs="Arial"/>
                <w:sz w:val="24"/>
                <w:szCs w:val="24"/>
              </w:rPr>
              <w:t>£</w:t>
            </w:r>
            <w:r>
              <w:rPr>
                <w:rFonts w:ascii="Arial" w:hAnsi="Arial" w:cs="Arial"/>
                <w:sz w:val="24"/>
                <w:szCs w:val="24"/>
              </w:rPr>
              <w:t>600,000</w:t>
            </w:r>
            <w:r w:rsidRPr="006A1B50">
              <w:rPr>
                <w:rFonts w:ascii="Arial" w:hAnsi="Arial" w:cs="Arial"/>
                <w:sz w:val="24"/>
                <w:szCs w:val="24"/>
              </w:rPr>
              <w:t>. The total value of the Framework over its maximum four-year term is £</w:t>
            </w:r>
            <w:r>
              <w:rPr>
                <w:rFonts w:ascii="Arial" w:hAnsi="Arial" w:cs="Arial"/>
                <w:sz w:val="24"/>
                <w:szCs w:val="24"/>
              </w:rPr>
              <w:t>2,400,000</w:t>
            </w:r>
            <w:r w:rsidRPr="006A1B50">
              <w:rPr>
                <w:rFonts w:ascii="Arial" w:hAnsi="Arial" w:cs="Arial"/>
                <w:sz w:val="24"/>
                <w:szCs w:val="24"/>
              </w:rPr>
              <w:t xml:space="preserve"> </w:t>
            </w:r>
          </w:p>
          <w:p w:rsidR="00C14BCD" w:rsidP="002F48B3">
            <w:pPr>
              <w:pStyle w:val="NoSpacing"/>
              <w:jc w:val="both"/>
              <w:rPr>
                <w:rFonts w:cs="Arial"/>
                <w:szCs w:val="24"/>
              </w:rPr>
            </w:pPr>
          </w:p>
          <w:p w:rsidR="00C14BCD" w:rsidRPr="00A4115E" w:rsidP="002F48B3">
            <w:pPr>
              <w:pStyle w:val="NoSpacing"/>
              <w:jc w:val="both"/>
            </w:pPr>
            <w:r w:rsidRPr="00A4115E">
              <w:t>The budget allocation is from the Highways Capital and the other DFT funded bu</w:t>
            </w:r>
            <w:r w:rsidRPr="00A4115E">
              <w:t>dgets</w:t>
            </w:r>
            <w:r>
              <w:t>.</w:t>
            </w:r>
          </w:p>
          <w:p w:rsidR="00C14BCD" w:rsidP="002F48B3">
            <w:pPr>
              <w:autoSpaceDE w:val="0"/>
              <w:autoSpaceDN w:val="0"/>
              <w:adjustRightInd w:val="0"/>
              <w:spacing w:after="120"/>
              <w:jc w:val="both"/>
              <w:rPr>
                <w:rFonts w:ascii="Arial" w:hAnsi="Arial" w:cs="Arial"/>
                <w:sz w:val="24"/>
                <w:szCs w:val="24"/>
              </w:rPr>
            </w:pPr>
          </w:p>
          <w:p w:rsidR="00C14BCD" w:rsidRPr="006A1B50" w:rsidP="002F48B3">
            <w:pPr>
              <w:autoSpaceDE w:val="0"/>
              <w:autoSpaceDN w:val="0"/>
              <w:adjustRightInd w:val="0"/>
              <w:spacing w:after="120"/>
              <w:jc w:val="both"/>
              <w:rPr>
                <w:rFonts w:ascii="Arial" w:hAnsi="Arial" w:cs="Arial"/>
                <w:sz w:val="24"/>
                <w:szCs w:val="24"/>
              </w:rPr>
            </w:pPr>
            <w:r w:rsidRPr="006A1B50">
              <w:rPr>
                <w:rFonts w:ascii="Arial" w:hAnsi="Arial" w:cs="Arial"/>
                <w:sz w:val="24"/>
                <w:szCs w:val="24"/>
              </w:rPr>
              <w:t>There is no commitment, or guarantee of the value of the services and/or number of call-offs to be placed with the supplier</w:t>
            </w:r>
            <w:r>
              <w:rPr>
                <w:rFonts w:ascii="Arial" w:hAnsi="Arial" w:cs="Arial"/>
                <w:sz w:val="24"/>
                <w:szCs w:val="24"/>
              </w:rPr>
              <w:t>s</w:t>
            </w:r>
            <w:r w:rsidRPr="006A1B50">
              <w:rPr>
                <w:rFonts w:ascii="Arial" w:hAnsi="Arial" w:cs="Arial"/>
                <w:sz w:val="24"/>
                <w:szCs w:val="24"/>
              </w:rPr>
              <w:t xml:space="preserve"> appointed to the Framework. </w:t>
            </w:r>
          </w:p>
        </w:tc>
      </w:tr>
      <w:tr w:rsidTr="002F48B3">
        <w:tblPrEx>
          <w:tblW w:w="0" w:type="auto"/>
          <w:tblLook w:val="04A0"/>
        </w:tblPrEx>
        <w:trPr>
          <w:trHeight w:val="2041"/>
        </w:trPr>
        <w:tc>
          <w:tcPr>
            <w:tcW w:w="9016" w:type="dxa"/>
          </w:tcPr>
          <w:p w:rsidR="00C14BCD" w:rsidRPr="006A1B50" w:rsidP="002F48B3">
            <w:pPr>
              <w:jc w:val="both"/>
              <w:rPr>
                <w:rFonts w:ascii="Arial" w:hAnsi="Arial" w:cs="Arial"/>
                <w:b/>
                <w:sz w:val="24"/>
                <w:szCs w:val="24"/>
              </w:rPr>
            </w:pPr>
            <w:r w:rsidRPr="006A1B50">
              <w:rPr>
                <w:rFonts w:ascii="Arial" w:hAnsi="Arial" w:cs="Arial"/>
                <w:b/>
                <w:sz w:val="24"/>
                <w:szCs w:val="24"/>
              </w:rPr>
              <w:t>Contract Duration</w:t>
            </w:r>
          </w:p>
          <w:p w:rsidR="00C14BCD" w:rsidP="002F48B3">
            <w:pPr>
              <w:autoSpaceDE w:val="0"/>
              <w:autoSpaceDN w:val="0"/>
              <w:adjustRightInd w:val="0"/>
              <w:rPr>
                <w:rFonts w:ascii="Arial" w:hAnsi="Arial" w:cs="Arial"/>
                <w:sz w:val="24"/>
                <w:szCs w:val="24"/>
              </w:rPr>
            </w:pPr>
            <w:r w:rsidRPr="006A1B50">
              <w:rPr>
                <w:rFonts w:ascii="Arial" w:hAnsi="Arial" w:cs="Arial"/>
                <w:sz w:val="24"/>
                <w:szCs w:val="24"/>
              </w:rPr>
              <w:t xml:space="preserve">The Framework will be let for a period of four years from </w:t>
            </w:r>
            <w:r>
              <w:rPr>
                <w:rFonts w:ascii="Arial" w:hAnsi="Arial" w:cs="Arial"/>
                <w:sz w:val="24"/>
                <w:szCs w:val="24"/>
              </w:rPr>
              <w:t xml:space="preserve">1 December 2019 </w:t>
            </w:r>
            <w:r>
              <w:rPr>
                <w:rFonts w:ascii="Arial" w:hAnsi="Arial" w:cs="Arial"/>
                <w:sz w:val="24"/>
                <w:szCs w:val="24"/>
              </w:rPr>
              <w:t>to 30 November 2023.</w:t>
            </w:r>
          </w:p>
          <w:p w:rsidR="00C14BCD" w:rsidRPr="006A1B50" w:rsidP="002F48B3">
            <w:pPr>
              <w:autoSpaceDE w:val="0"/>
              <w:autoSpaceDN w:val="0"/>
              <w:adjustRightInd w:val="0"/>
              <w:rPr>
                <w:rFonts w:ascii="Arial" w:hAnsi="Arial" w:cs="Arial"/>
                <w:sz w:val="24"/>
                <w:szCs w:val="24"/>
              </w:rPr>
            </w:pPr>
          </w:p>
          <w:p w:rsidR="00C14BCD" w:rsidRPr="006A1B50" w:rsidP="009D17A6">
            <w:pPr>
              <w:autoSpaceDE w:val="0"/>
              <w:autoSpaceDN w:val="0"/>
              <w:adjustRightInd w:val="0"/>
              <w:rPr>
                <w:rFonts w:ascii="Arial" w:hAnsi="Arial" w:cs="Arial"/>
                <w:sz w:val="24"/>
                <w:szCs w:val="24"/>
              </w:rPr>
            </w:pPr>
            <w:r w:rsidRPr="006A1B50">
              <w:rPr>
                <w:rFonts w:ascii="Arial" w:hAnsi="Arial" w:cs="Arial"/>
                <w:sz w:val="24"/>
                <w:szCs w:val="24"/>
              </w:rPr>
              <w:t xml:space="preserve">The Framework will contain a non-mutual termination clause for the </w:t>
            </w:r>
            <w:r>
              <w:rPr>
                <w:rFonts w:ascii="Arial" w:hAnsi="Arial" w:cs="Arial"/>
                <w:sz w:val="24"/>
                <w:szCs w:val="24"/>
              </w:rPr>
              <w:t xml:space="preserve">council's </w:t>
            </w:r>
            <w:r w:rsidRPr="006A1B50">
              <w:rPr>
                <w:rFonts w:ascii="Arial" w:hAnsi="Arial" w:cs="Arial"/>
                <w:sz w:val="24"/>
                <w:szCs w:val="24"/>
              </w:rPr>
              <w:t xml:space="preserve"> use enabling termination on </w:t>
            </w:r>
            <w:r>
              <w:rPr>
                <w:rFonts w:ascii="Arial" w:hAnsi="Arial" w:cs="Arial"/>
                <w:sz w:val="24"/>
                <w:szCs w:val="24"/>
              </w:rPr>
              <w:t>30 days</w:t>
            </w:r>
            <w:r w:rsidRPr="006A1B50">
              <w:rPr>
                <w:rFonts w:ascii="Arial" w:hAnsi="Arial" w:cs="Arial"/>
                <w:sz w:val="24"/>
                <w:szCs w:val="24"/>
              </w:rPr>
              <w:t xml:space="preserve">' notice, whilst call-off orders may be terminated on </w:t>
            </w:r>
            <w:r>
              <w:rPr>
                <w:rFonts w:ascii="Arial" w:hAnsi="Arial" w:cs="Arial"/>
                <w:sz w:val="24"/>
                <w:szCs w:val="24"/>
              </w:rPr>
              <w:t>30 days</w:t>
            </w:r>
            <w:r w:rsidRPr="006A1B50">
              <w:rPr>
                <w:rFonts w:ascii="Arial" w:hAnsi="Arial" w:cs="Arial"/>
                <w:sz w:val="24"/>
                <w:szCs w:val="24"/>
              </w:rPr>
              <w:t xml:space="preserve">' notice. </w:t>
            </w:r>
          </w:p>
        </w:tc>
      </w:tr>
      <w:tr w:rsidTr="002F48B3">
        <w:tblPrEx>
          <w:tblW w:w="0" w:type="auto"/>
          <w:tblLook w:val="04A0"/>
        </w:tblPrEx>
        <w:trPr>
          <w:trHeight w:val="737"/>
        </w:trPr>
        <w:tc>
          <w:tcPr>
            <w:tcW w:w="9016" w:type="dxa"/>
          </w:tcPr>
          <w:p w:rsidR="00C14BCD" w:rsidRPr="006A1B50" w:rsidP="002F48B3">
            <w:pPr>
              <w:jc w:val="both"/>
              <w:rPr>
                <w:rFonts w:ascii="Arial" w:hAnsi="Arial" w:cs="Arial"/>
                <w:b/>
                <w:sz w:val="24"/>
                <w:szCs w:val="24"/>
              </w:rPr>
            </w:pPr>
            <w:r w:rsidRPr="006A1B50">
              <w:rPr>
                <w:rFonts w:ascii="Arial" w:hAnsi="Arial" w:cs="Arial"/>
                <w:b/>
                <w:sz w:val="24"/>
                <w:szCs w:val="24"/>
              </w:rPr>
              <w:t>Lots</w:t>
            </w:r>
          </w:p>
          <w:p w:rsidR="00C14BCD" w:rsidP="002F48B3">
            <w:pPr>
              <w:keepNext/>
              <w:keepLines/>
              <w:widowControl w:val="0"/>
              <w:ind w:left="720" w:hanging="720"/>
              <w:rPr>
                <w:rFonts w:ascii="Arial" w:hAnsi="Arial" w:cs="Arial"/>
                <w:sz w:val="24"/>
                <w:szCs w:val="24"/>
              </w:rPr>
            </w:pPr>
            <w:r>
              <w:rPr>
                <w:rFonts w:ascii="Arial" w:hAnsi="Arial" w:cs="Arial"/>
                <w:sz w:val="24"/>
                <w:szCs w:val="24"/>
              </w:rPr>
              <w:t>Two Lots and 6 sub-lots –with multiple supp</w:t>
            </w:r>
            <w:r>
              <w:rPr>
                <w:rFonts w:ascii="Arial" w:hAnsi="Arial" w:cs="Arial"/>
                <w:sz w:val="24"/>
                <w:szCs w:val="24"/>
              </w:rPr>
              <w:t>liers in each Lot and sub-lots.</w:t>
            </w:r>
          </w:p>
          <w:p w:rsidR="00C14BCD" w:rsidP="002F48B3">
            <w:pPr>
              <w:keepNext/>
              <w:keepLines/>
              <w:widowControl w:val="0"/>
              <w:ind w:left="720"/>
              <w:rPr>
                <w:rFonts w:ascii="Arial" w:hAnsi="Arial" w:cs="Arial"/>
                <w:sz w:val="24"/>
                <w:szCs w:val="24"/>
              </w:rPr>
            </w:pPr>
          </w:p>
          <w:p w:rsidR="00C14BCD" w:rsidRPr="00884DB0" w:rsidP="00C14BCD">
            <w:pPr>
              <w:pStyle w:val="ListParagraph"/>
              <w:keepNext/>
              <w:keepLines/>
              <w:widowControl w:val="0"/>
              <w:numPr>
                <w:ilvl w:val="0"/>
                <w:numId w:val="5"/>
              </w:numPr>
              <w:rPr>
                <w:rFonts w:ascii="Arial" w:hAnsi="Arial" w:cs="Arial"/>
                <w:sz w:val="24"/>
                <w:szCs w:val="24"/>
              </w:rPr>
            </w:pPr>
            <w:r w:rsidRPr="00884DB0">
              <w:rPr>
                <w:rFonts w:ascii="Arial" w:hAnsi="Arial" w:cs="Arial"/>
                <w:sz w:val="24"/>
                <w:szCs w:val="24"/>
              </w:rPr>
              <w:t xml:space="preserve">Lot A – for planing by measured surface area </w:t>
            </w:r>
          </w:p>
          <w:p w:rsidR="00C14BCD" w:rsidP="00C14BCD">
            <w:pPr>
              <w:pStyle w:val="ListParagraph"/>
              <w:keepNext/>
              <w:keepLines/>
              <w:widowControl w:val="0"/>
              <w:numPr>
                <w:ilvl w:val="0"/>
                <w:numId w:val="5"/>
              </w:numPr>
              <w:rPr>
                <w:rFonts w:ascii="Arial" w:hAnsi="Arial" w:cs="Arial"/>
                <w:sz w:val="24"/>
                <w:szCs w:val="24"/>
              </w:rPr>
            </w:pPr>
            <w:r w:rsidRPr="00884DB0">
              <w:rPr>
                <w:rFonts w:ascii="Arial" w:hAnsi="Arial" w:cs="Arial"/>
                <w:sz w:val="24"/>
                <w:szCs w:val="24"/>
              </w:rPr>
              <w:t xml:space="preserve">Lot B – for planing by </w:t>
            </w:r>
            <w:r>
              <w:rPr>
                <w:rFonts w:ascii="Arial" w:hAnsi="Arial" w:cs="Arial"/>
                <w:sz w:val="24"/>
                <w:szCs w:val="24"/>
              </w:rPr>
              <w:t>d</w:t>
            </w:r>
            <w:r w:rsidRPr="00884DB0">
              <w:rPr>
                <w:rFonts w:ascii="Arial" w:hAnsi="Arial" w:cs="Arial"/>
                <w:sz w:val="24"/>
                <w:szCs w:val="24"/>
              </w:rPr>
              <w:t>aywork rate</w:t>
            </w:r>
            <w:r>
              <w:rPr>
                <w:rFonts w:ascii="Arial" w:hAnsi="Arial" w:cs="Arial"/>
                <w:sz w:val="24"/>
                <w:szCs w:val="24"/>
              </w:rPr>
              <w:t xml:space="preserve">s </w:t>
            </w:r>
            <w:r w:rsidRPr="0051064D">
              <w:rPr>
                <w:rFonts w:ascii="Arial" w:hAnsi="Arial" w:cs="Arial"/>
                <w:sz w:val="24"/>
                <w:szCs w:val="24"/>
              </w:rPr>
              <w:t xml:space="preserve">(6 </w:t>
            </w:r>
            <w:r>
              <w:rPr>
                <w:rFonts w:ascii="Arial" w:hAnsi="Arial" w:cs="Arial"/>
                <w:sz w:val="24"/>
                <w:szCs w:val="24"/>
              </w:rPr>
              <w:t>sub-</w:t>
            </w:r>
            <w:r w:rsidRPr="0051064D">
              <w:rPr>
                <w:rFonts w:ascii="Arial" w:hAnsi="Arial" w:cs="Arial"/>
                <w:sz w:val="24"/>
                <w:szCs w:val="24"/>
              </w:rPr>
              <w:t>lots based on planing machine size)</w:t>
            </w:r>
          </w:p>
          <w:p w:rsidR="00C14BCD" w:rsidP="00C14BCD">
            <w:pPr>
              <w:pStyle w:val="ListParagraph"/>
              <w:keepNext/>
              <w:keepLines/>
              <w:widowControl w:val="0"/>
              <w:numPr>
                <w:ilvl w:val="1"/>
                <w:numId w:val="5"/>
              </w:numPr>
              <w:rPr>
                <w:rFonts w:ascii="Arial" w:hAnsi="Arial" w:cs="Arial"/>
                <w:sz w:val="24"/>
                <w:szCs w:val="24"/>
              </w:rPr>
            </w:pPr>
            <w:r w:rsidRPr="0051064D">
              <w:rPr>
                <w:rFonts w:ascii="Arial" w:hAnsi="Arial" w:cs="Arial"/>
                <w:sz w:val="24"/>
                <w:szCs w:val="24"/>
              </w:rPr>
              <w:t>Lot B1</w:t>
            </w:r>
            <w:r>
              <w:rPr>
                <w:rFonts w:ascii="Arial" w:hAnsi="Arial" w:cs="Arial"/>
                <w:sz w:val="24"/>
                <w:szCs w:val="24"/>
              </w:rPr>
              <w:t xml:space="preserve"> </w:t>
            </w:r>
            <w:r w:rsidRPr="00884DB0">
              <w:rPr>
                <w:rFonts w:ascii="Arial" w:hAnsi="Arial" w:cs="Arial"/>
                <w:sz w:val="24"/>
                <w:szCs w:val="24"/>
              </w:rPr>
              <w:t xml:space="preserve">– </w:t>
            </w:r>
            <w:r w:rsidRPr="0051064D">
              <w:rPr>
                <w:rFonts w:ascii="Arial" w:hAnsi="Arial" w:cs="Arial"/>
                <w:sz w:val="24"/>
                <w:szCs w:val="24"/>
              </w:rPr>
              <w:t>Cold Planing Machine – 0.35m</w:t>
            </w:r>
          </w:p>
          <w:p w:rsidR="00C14BCD" w:rsidRPr="0051064D" w:rsidP="00C14BCD">
            <w:pPr>
              <w:pStyle w:val="ListParagraph"/>
              <w:keepNext/>
              <w:keepLines/>
              <w:widowControl w:val="0"/>
              <w:numPr>
                <w:ilvl w:val="1"/>
                <w:numId w:val="5"/>
              </w:numPr>
              <w:rPr>
                <w:rFonts w:ascii="Arial" w:hAnsi="Arial" w:cs="Arial"/>
                <w:sz w:val="24"/>
                <w:szCs w:val="24"/>
              </w:rPr>
            </w:pPr>
            <w:r w:rsidRPr="0051064D">
              <w:rPr>
                <w:rFonts w:ascii="Arial" w:hAnsi="Arial" w:cs="Arial"/>
                <w:sz w:val="24"/>
                <w:szCs w:val="24"/>
              </w:rPr>
              <w:t>Lot B2</w:t>
            </w:r>
            <w:r>
              <w:rPr>
                <w:rFonts w:ascii="Arial" w:hAnsi="Arial" w:cs="Arial"/>
                <w:sz w:val="24"/>
                <w:szCs w:val="24"/>
              </w:rPr>
              <w:t xml:space="preserve"> </w:t>
            </w:r>
            <w:r w:rsidRPr="00884DB0">
              <w:rPr>
                <w:rFonts w:ascii="Arial" w:hAnsi="Arial" w:cs="Arial"/>
                <w:sz w:val="24"/>
                <w:szCs w:val="24"/>
              </w:rPr>
              <w:t>–</w:t>
            </w:r>
            <w:r w:rsidRPr="0051064D">
              <w:rPr>
                <w:rFonts w:ascii="Arial" w:hAnsi="Arial" w:cs="Arial"/>
                <w:sz w:val="24"/>
                <w:szCs w:val="24"/>
              </w:rPr>
              <w:t xml:space="preserve"> Cold Planing Machine – 0.50m</w:t>
            </w:r>
          </w:p>
          <w:p w:rsidR="00C14BCD" w:rsidRPr="0051064D" w:rsidP="00C14BCD">
            <w:pPr>
              <w:pStyle w:val="ListParagraph"/>
              <w:keepNext/>
              <w:keepLines/>
              <w:widowControl w:val="0"/>
              <w:numPr>
                <w:ilvl w:val="1"/>
                <w:numId w:val="5"/>
              </w:numPr>
              <w:rPr>
                <w:rFonts w:ascii="Arial" w:hAnsi="Arial" w:cs="Arial"/>
                <w:sz w:val="24"/>
                <w:szCs w:val="24"/>
              </w:rPr>
            </w:pPr>
            <w:r w:rsidRPr="0051064D">
              <w:rPr>
                <w:rFonts w:ascii="Arial" w:hAnsi="Arial" w:cs="Arial"/>
                <w:sz w:val="24"/>
                <w:szCs w:val="24"/>
              </w:rPr>
              <w:t>Lot B3</w:t>
            </w:r>
            <w:r>
              <w:rPr>
                <w:rFonts w:ascii="Arial" w:hAnsi="Arial" w:cs="Arial"/>
                <w:sz w:val="24"/>
                <w:szCs w:val="24"/>
              </w:rPr>
              <w:t xml:space="preserve"> </w:t>
            </w:r>
            <w:r w:rsidRPr="00884DB0">
              <w:rPr>
                <w:rFonts w:ascii="Arial" w:hAnsi="Arial" w:cs="Arial"/>
                <w:sz w:val="24"/>
                <w:szCs w:val="24"/>
              </w:rPr>
              <w:t>–</w:t>
            </w:r>
            <w:r w:rsidRPr="0051064D">
              <w:rPr>
                <w:rFonts w:ascii="Arial" w:hAnsi="Arial" w:cs="Arial"/>
                <w:sz w:val="24"/>
                <w:szCs w:val="24"/>
              </w:rPr>
              <w:t xml:space="preserve"> Cold Planing</w:t>
            </w:r>
            <w:r w:rsidRPr="0051064D">
              <w:rPr>
                <w:rFonts w:ascii="Arial" w:hAnsi="Arial" w:cs="Arial"/>
                <w:sz w:val="24"/>
                <w:szCs w:val="24"/>
              </w:rPr>
              <w:t xml:space="preserve"> Machine – 1.00m</w:t>
            </w:r>
          </w:p>
          <w:p w:rsidR="00C14BCD" w:rsidRPr="0051064D" w:rsidP="00C14BCD">
            <w:pPr>
              <w:pStyle w:val="ListParagraph"/>
              <w:keepNext/>
              <w:keepLines/>
              <w:widowControl w:val="0"/>
              <w:numPr>
                <w:ilvl w:val="1"/>
                <w:numId w:val="5"/>
              </w:numPr>
              <w:rPr>
                <w:rFonts w:ascii="Arial" w:hAnsi="Arial" w:cs="Arial"/>
                <w:sz w:val="24"/>
                <w:szCs w:val="24"/>
              </w:rPr>
            </w:pPr>
            <w:r w:rsidRPr="0051064D">
              <w:rPr>
                <w:rFonts w:ascii="Arial" w:hAnsi="Arial" w:cs="Arial"/>
                <w:sz w:val="24"/>
                <w:szCs w:val="24"/>
              </w:rPr>
              <w:t>Lot B4</w:t>
            </w:r>
            <w:r>
              <w:rPr>
                <w:rFonts w:ascii="Arial" w:hAnsi="Arial" w:cs="Arial"/>
                <w:sz w:val="24"/>
                <w:szCs w:val="24"/>
              </w:rPr>
              <w:t xml:space="preserve"> </w:t>
            </w:r>
            <w:r w:rsidRPr="00884DB0">
              <w:rPr>
                <w:rFonts w:ascii="Arial" w:hAnsi="Arial" w:cs="Arial"/>
                <w:sz w:val="24"/>
                <w:szCs w:val="24"/>
              </w:rPr>
              <w:t>–</w:t>
            </w:r>
            <w:r w:rsidRPr="0051064D">
              <w:rPr>
                <w:rFonts w:ascii="Arial" w:hAnsi="Arial" w:cs="Arial"/>
                <w:sz w:val="24"/>
                <w:szCs w:val="24"/>
              </w:rPr>
              <w:t xml:space="preserve"> Cold Planing Machine – 1.20m/1.5m</w:t>
            </w:r>
          </w:p>
          <w:p w:rsidR="00C14BCD" w:rsidRPr="0051064D" w:rsidP="00C14BCD">
            <w:pPr>
              <w:pStyle w:val="ListParagraph"/>
              <w:keepNext/>
              <w:keepLines/>
              <w:widowControl w:val="0"/>
              <w:numPr>
                <w:ilvl w:val="1"/>
                <w:numId w:val="5"/>
              </w:numPr>
              <w:rPr>
                <w:rFonts w:ascii="Arial" w:hAnsi="Arial" w:cs="Arial"/>
                <w:sz w:val="24"/>
                <w:szCs w:val="24"/>
              </w:rPr>
            </w:pPr>
            <w:r w:rsidRPr="0051064D">
              <w:rPr>
                <w:rFonts w:ascii="Arial" w:hAnsi="Arial" w:cs="Arial"/>
                <w:sz w:val="24"/>
                <w:szCs w:val="24"/>
              </w:rPr>
              <w:t>Lot B5</w:t>
            </w:r>
            <w:r>
              <w:rPr>
                <w:rFonts w:ascii="Arial" w:hAnsi="Arial" w:cs="Arial"/>
                <w:sz w:val="24"/>
                <w:szCs w:val="24"/>
              </w:rPr>
              <w:t xml:space="preserve"> </w:t>
            </w:r>
            <w:r w:rsidRPr="00884DB0">
              <w:rPr>
                <w:rFonts w:ascii="Arial" w:hAnsi="Arial" w:cs="Arial"/>
                <w:sz w:val="24"/>
                <w:szCs w:val="24"/>
              </w:rPr>
              <w:t>–</w:t>
            </w:r>
            <w:r w:rsidRPr="0051064D">
              <w:rPr>
                <w:rFonts w:ascii="Arial" w:hAnsi="Arial" w:cs="Arial"/>
                <w:sz w:val="24"/>
                <w:szCs w:val="24"/>
              </w:rPr>
              <w:t xml:space="preserve"> Cold Planing Machine – </w:t>
            </w:r>
            <w:r>
              <w:rPr>
                <w:rFonts w:ascii="Arial" w:hAnsi="Arial" w:cs="Arial"/>
                <w:sz w:val="24"/>
                <w:szCs w:val="24"/>
              </w:rPr>
              <w:t>2.00m/</w:t>
            </w:r>
            <w:r w:rsidRPr="0051064D">
              <w:rPr>
                <w:rFonts w:ascii="Arial" w:hAnsi="Arial" w:cs="Arial"/>
                <w:sz w:val="24"/>
                <w:szCs w:val="24"/>
              </w:rPr>
              <w:t>2.10m</w:t>
            </w:r>
          </w:p>
          <w:p w:rsidR="00C14BCD" w:rsidRPr="00884DB0" w:rsidP="00C14BCD">
            <w:pPr>
              <w:pStyle w:val="ListParagraph"/>
              <w:keepNext/>
              <w:keepLines/>
              <w:widowControl w:val="0"/>
              <w:numPr>
                <w:ilvl w:val="1"/>
                <w:numId w:val="5"/>
              </w:numPr>
              <w:rPr>
                <w:rFonts w:ascii="Arial" w:hAnsi="Arial" w:cs="Arial"/>
                <w:sz w:val="24"/>
                <w:szCs w:val="24"/>
              </w:rPr>
            </w:pPr>
            <w:r w:rsidRPr="0051064D">
              <w:rPr>
                <w:rFonts w:ascii="Arial" w:hAnsi="Arial" w:cs="Arial"/>
                <w:sz w:val="24"/>
                <w:szCs w:val="24"/>
              </w:rPr>
              <w:t>Lot B6</w:t>
            </w:r>
            <w:r>
              <w:rPr>
                <w:rFonts w:ascii="Arial" w:hAnsi="Arial" w:cs="Arial"/>
                <w:sz w:val="24"/>
                <w:szCs w:val="24"/>
              </w:rPr>
              <w:t xml:space="preserve"> </w:t>
            </w:r>
            <w:r w:rsidRPr="00884DB0">
              <w:rPr>
                <w:rFonts w:ascii="Arial" w:hAnsi="Arial" w:cs="Arial"/>
                <w:sz w:val="24"/>
                <w:szCs w:val="24"/>
              </w:rPr>
              <w:t>–</w:t>
            </w:r>
            <w:r w:rsidRPr="0051064D">
              <w:rPr>
                <w:rFonts w:ascii="Arial" w:hAnsi="Arial" w:cs="Arial"/>
                <w:sz w:val="24"/>
                <w:szCs w:val="24"/>
              </w:rPr>
              <w:t xml:space="preserve"> Cold Planing Machine – 3.20m</w:t>
            </w:r>
          </w:p>
          <w:p w:rsidR="00C14BCD" w:rsidRPr="006A1B50" w:rsidP="002F48B3">
            <w:pPr>
              <w:jc w:val="both"/>
              <w:rPr>
                <w:rFonts w:ascii="Arial" w:hAnsi="Arial" w:cs="Arial"/>
                <w:sz w:val="24"/>
                <w:szCs w:val="24"/>
              </w:rPr>
            </w:pPr>
          </w:p>
        </w:tc>
      </w:tr>
      <w:tr w:rsidTr="002F48B3">
        <w:tblPrEx>
          <w:tblW w:w="0" w:type="auto"/>
          <w:tblLook w:val="04A0"/>
        </w:tblPrEx>
        <w:tc>
          <w:tcPr>
            <w:tcW w:w="9016" w:type="dxa"/>
          </w:tcPr>
          <w:p w:rsidR="00C14BCD" w:rsidRPr="006A1B50" w:rsidP="002F48B3">
            <w:pPr>
              <w:jc w:val="both"/>
              <w:rPr>
                <w:rFonts w:ascii="Arial" w:hAnsi="Arial" w:cs="Arial"/>
                <w:b/>
                <w:sz w:val="24"/>
                <w:szCs w:val="24"/>
              </w:rPr>
            </w:pPr>
            <w:r w:rsidRPr="006A1B50">
              <w:rPr>
                <w:rFonts w:ascii="Arial" w:hAnsi="Arial" w:cs="Arial"/>
                <w:b/>
                <w:sz w:val="24"/>
                <w:szCs w:val="24"/>
              </w:rPr>
              <w:t>Evaluation</w:t>
            </w:r>
          </w:p>
          <w:p w:rsidR="00C14BCD" w:rsidRPr="006A1B50" w:rsidP="002F48B3">
            <w:pPr>
              <w:jc w:val="both"/>
              <w:rPr>
                <w:rFonts w:ascii="Arial" w:hAnsi="Arial" w:cs="Arial"/>
                <w:b/>
                <w:sz w:val="24"/>
                <w:szCs w:val="24"/>
              </w:rPr>
            </w:pPr>
          </w:p>
          <w:tbl>
            <w:tblPr>
              <w:tblStyle w:val="TableGrid"/>
              <w:tblW w:w="0" w:type="auto"/>
              <w:tblLook w:val="04A0"/>
            </w:tblPr>
            <w:tblGrid>
              <w:gridCol w:w="4395"/>
              <w:gridCol w:w="4395"/>
            </w:tblGrid>
            <w:tr w:rsidTr="002F48B3">
              <w:tblPrEx>
                <w:tblW w:w="0" w:type="auto"/>
                <w:tblLook w:val="04A0"/>
              </w:tblPrEx>
              <w:trPr>
                <w:trHeight w:val="349"/>
              </w:trPr>
              <w:tc>
                <w:tcPr>
                  <w:tcW w:w="4395" w:type="dxa"/>
                </w:tcPr>
                <w:p w:rsidR="00C14BCD" w:rsidRPr="006A1B50" w:rsidP="002F48B3">
                  <w:pPr>
                    <w:jc w:val="both"/>
                    <w:rPr>
                      <w:rFonts w:ascii="Arial" w:hAnsi="Arial" w:cs="Arial"/>
                      <w:b/>
                      <w:sz w:val="24"/>
                      <w:szCs w:val="24"/>
                    </w:rPr>
                  </w:pPr>
                  <w:r w:rsidRPr="006A1B50">
                    <w:rPr>
                      <w:rFonts w:ascii="Arial" w:hAnsi="Arial" w:cs="Arial"/>
                      <w:b/>
                      <w:bCs/>
                      <w:color w:val="000000"/>
                      <w:sz w:val="24"/>
                      <w:szCs w:val="24"/>
                    </w:rPr>
                    <w:t xml:space="preserve">Quality Criteria: </w:t>
                  </w:r>
                  <w:r>
                    <w:rPr>
                      <w:rFonts w:ascii="Arial" w:hAnsi="Arial" w:cs="Arial"/>
                      <w:b/>
                      <w:bCs/>
                      <w:color w:val="000000"/>
                      <w:sz w:val="24"/>
                      <w:szCs w:val="24"/>
                    </w:rPr>
                    <w:t>Pass/Fail</w:t>
                  </w:r>
                </w:p>
              </w:tc>
              <w:tc>
                <w:tcPr>
                  <w:tcW w:w="4395" w:type="dxa"/>
                </w:tcPr>
                <w:p w:rsidR="00C14BCD" w:rsidRPr="006A1B50" w:rsidP="002F48B3">
                  <w:pPr>
                    <w:autoSpaceDE w:val="0"/>
                    <w:autoSpaceDN w:val="0"/>
                    <w:adjustRightInd w:val="0"/>
                    <w:rPr>
                      <w:rFonts w:ascii="Arial" w:hAnsi="Arial" w:cs="Arial"/>
                      <w:b/>
                      <w:sz w:val="24"/>
                      <w:szCs w:val="24"/>
                    </w:rPr>
                  </w:pPr>
                  <w:r w:rsidRPr="006A1B50">
                    <w:rPr>
                      <w:rFonts w:ascii="Arial" w:hAnsi="Arial" w:cs="Arial"/>
                      <w:b/>
                      <w:bCs/>
                      <w:color w:val="000000"/>
                      <w:sz w:val="24"/>
                      <w:szCs w:val="24"/>
                    </w:rPr>
                    <w:t xml:space="preserve">Financial Criteria: </w:t>
                  </w:r>
                  <w:r>
                    <w:rPr>
                      <w:rFonts w:ascii="Arial" w:hAnsi="Arial" w:cs="Arial"/>
                      <w:b/>
                      <w:bCs/>
                      <w:color w:val="000000"/>
                      <w:sz w:val="24"/>
                      <w:szCs w:val="24"/>
                    </w:rPr>
                    <w:t>10</w:t>
                  </w:r>
                  <w:r w:rsidRPr="006A1B50">
                    <w:rPr>
                      <w:rFonts w:ascii="Arial" w:hAnsi="Arial" w:cs="Arial"/>
                      <w:b/>
                      <w:bCs/>
                      <w:color w:val="000000"/>
                      <w:sz w:val="24"/>
                      <w:szCs w:val="24"/>
                    </w:rPr>
                    <w:t>0%</w:t>
                  </w:r>
                </w:p>
              </w:tc>
            </w:tr>
          </w:tbl>
          <w:p w:rsidR="00C14BCD" w:rsidRPr="006A1B50" w:rsidP="002F48B3">
            <w:pPr>
              <w:jc w:val="both"/>
              <w:rPr>
                <w:rFonts w:ascii="Arial" w:hAnsi="Arial" w:cs="Arial"/>
                <w:b/>
                <w:sz w:val="24"/>
                <w:szCs w:val="24"/>
              </w:rPr>
            </w:pPr>
          </w:p>
          <w:p w:rsidR="00C14BCD" w:rsidRPr="006A1B50" w:rsidP="002F48B3">
            <w:pPr>
              <w:autoSpaceDE w:val="0"/>
              <w:autoSpaceDN w:val="0"/>
              <w:adjustRightInd w:val="0"/>
              <w:rPr>
                <w:rFonts w:ascii="Arial" w:hAnsi="Arial" w:cs="Arial"/>
                <w:sz w:val="24"/>
                <w:szCs w:val="24"/>
              </w:rPr>
            </w:pPr>
            <w:r w:rsidRPr="006A1B50">
              <w:rPr>
                <w:rFonts w:ascii="Arial" w:hAnsi="Arial" w:cs="Arial"/>
                <w:sz w:val="24"/>
                <w:szCs w:val="24"/>
              </w:rPr>
              <w:t xml:space="preserve">The Framework will be evaluated using the </w:t>
            </w:r>
            <w:r>
              <w:rPr>
                <w:rFonts w:ascii="Arial" w:hAnsi="Arial" w:cs="Arial"/>
                <w:sz w:val="24"/>
                <w:szCs w:val="24"/>
              </w:rPr>
              <w:t>construction PAS91</w:t>
            </w:r>
            <w:r w:rsidRPr="006A1B50">
              <w:rPr>
                <w:rFonts w:ascii="Arial" w:hAnsi="Arial" w:cs="Arial"/>
                <w:sz w:val="24"/>
                <w:szCs w:val="24"/>
              </w:rPr>
              <w:t xml:space="preserve"> Questionnaire that is compliant with the Public Contract Regulations 2015.</w:t>
            </w:r>
          </w:p>
          <w:p w:rsidR="00C14BCD" w:rsidRPr="006A1B50" w:rsidP="002F48B3">
            <w:pPr>
              <w:autoSpaceDE w:val="0"/>
              <w:autoSpaceDN w:val="0"/>
              <w:adjustRightInd w:val="0"/>
              <w:rPr>
                <w:rFonts w:ascii="Arial" w:hAnsi="Arial" w:cs="Arial"/>
                <w:sz w:val="24"/>
                <w:szCs w:val="24"/>
              </w:rPr>
            </w:pPr>
          </w:p>
          <w:p w:rsidR="00C14BCD" w:rsidRPr="006A1B50" w:rsidP="002F48B3">
            <w:pPr>
              <w:jc w:val="both"/>
              <w:rPr>
                <w:rFonts w:ascii="Arial" w:hAnsi="Arial" w:cs="Arial"/>
                <w:sz w:val="24"/>
                <w:szCs w:val="24"/>
              </w:rPr>
            </w:pPr>
            <w:r w:rsidRPr="006A1B50">
              <w:rPr>
                <w:rFonts w:ascii="Arial" w:hAnsi="Arial" w:cs="Arial"/>
                <w:sz w:val="24"/>
                <w:szCs w:val="24"/>
              </w:rPr>
              <w:t>Stage 1: The Supplier Questionnaire will evaluate suppliers against the following criteria</w:t>
            </w:r>
            <w:r w:rsidRPr="00C417EE">
              <w:rPr>
                <w:rFonts w:ascii="Arial" w:hAnsi="Arial" w:cs="Arial"/>
                <w:color w:val="000000"/>
                <w:sz w:val="24"/>
                <w:szCs w:val="24"/>
              </w:rPr>
              <w:t xml:space="preserve"> financial status, </w:t>
            </w:r>
            <w:r>
              <w:rPr>
                <w:rFonts w:ascii="Arial" w:hAnsi="Arial" w:cs="Arial"/>
                <w:color w:val="000000"/>
                <w:sz w:val="24"/>
                <w:szCs w:val="24"/>
              </w:rPr>
              <w:t>business &amp; Professional standing / Health &amp; safety /</w:t>
            </w:r>
            <w:r>
              <w:rPr>
                <w:rFonts w:ascii="Arial" w:hAnsi="Arial" w:cs="Arial"/>
                <w:color w:val="000000"/>
                <w:sz w:val="24"/>
                <w:szCs w:val="24"/>
              </w:rPr>
              <w:t xml:space="preserve"> Equal </w:t>
            </w:r>
            <w:r>
              <w:rPr>
                <w:rFonts w:ascii="Arial" w:hAnsi="Arial" w:cs="Arial"/>
                <w:color w:val="000000"/>
                <w:sz w:val="24"/>
                <w:szCs w:val="24"/>
              </w:rPr>
              <w:t>Opportunity / Environmental Policy / Quality Management</w:t>
            </w:r>
            <w:r w:rsidRPr="006A1B50">
              <w:rPr>
                <w:rFonts w:ascii="Arial" w:hAnsi="Arial" w:cs="Arial"/>
                <w:sz w:val="24"/>
                <w:szCs w:val="24"/>
              </w:rPr>
              <w:t xml:space="preserve">. The </w:t>
            </w:r>
            <w:r>
              <w:rPr>
                <w:rFonts w:ascii="Arial" w:hAnsi="Arial" w:cs="Arial"/>
                <w:sz w:val="24"/>
                <w:szCs w:val="24"/>
              </w:rPr>
              <w:t>questionnaire will</w:t>
            </w:r>
            <w:r w:rsidRPr="006A1B50">
              <w:rPr>
                <w:rFonts w:ascii="Arial" w:hAnsi="Arial" w:cs="Arial"/>
                <w:sz w:val="24"/>
                <w:szCs w:val="24"/>
              </w:rPr>
              <w:t xml:space="preserve"> include social value </w:t>
            </w:r>
            <w:r>
              <w:rPr>
                <w:rFonts w:ascii="Arial" w:hAnsi="Arial" w:cs="Arial"/>
                <w:sz w:val="24"/>
                <w:szCs w:val="24"/>
              </w:rPr>
              <w:t xml:space="preserve">that will </w:t>
            </w:r>
            <w:r w:rsidRPr="006A1B50">
              <w:rPr>
                <w:rFonts w:ascii="Arial" w:hAnsi="Arial" w:cs="Arial"/>
                <w:sz w:val="24"/>
                <w:szCs w:val="24"/>
              </w:rPr>
              <w:t xml:space="preserve">consider environmental concerns.  </w:t>
            </w:r>
          </w:p>
          <w:p w:rsidR="00C14BCD" w:rsidRPr="006A1B50" w:rsidP="002F48B3">
            <w:pPr>
              <w:jc w:val="both"/>
              <w:rPr>
                <w:rFonts w:ascii="Arial" w:hAnsi="Arial" w:cs="Arial"/>
                <w:sz w:val="24"/>
                <w:szCs w:val="24"/>
              </w:rPr>
            </w:pPr>
          </w:p>
          <w:p w:rsidR="00C14BCD" w:rsidRPr="006A1B50" w:rsidP="002F48B3">
            <w:pPr>
              <w:jc w:val="both"/>
              <w:rPr>
                <w:rFonts w:ascii="Arial" w:hAnsi="Arial" w:cs="Arial"/>
                <w:sz w:val="24"/>
                <w:szCs w:val="24"/>
              </w:rPr>
            </w:pPr>
            <w:r w:rsidRPr="006A1B50">
              <w:rPr>
                <w:rFonts w:ascii="Arial" w:hAnsi="Arial" w:cs="Arial"/>
                <w:sz w:val="24"/>
                <w:szCs w:val="24"/>
              </w:rPr>
              <w:t>Each tenderer must pass this stage in order to proceed to Stage 2.</w:t>
            </w:r>
          </w:p>
          <w:p w:rsidR="00C14BCD" w:rsidP="002F48B3">
            <w:pPr>
              <w:jc w:val="both"/>
              <w:rPr>
                <w:rFonts w:ascii="Arial" w:hAnsi="Arial" w:cs="Arial"/>
                <w:sz w:val="24"/>
                <w:szCs w:val="24"/>
              </w:rPr>
            </w:pPr>
          </w:p>
          <w:p w:rsidR="00C14BCD" w:rsidP="002F48B3">
            <w:pPr>
              <w:jc w:val="both"/>
              <w:rPr>
                <w:rFonts w:ascii="Arial" w:hAnsi="Arial" w:cs="Arial"/>
                <w:sz w:val="24"/>
                <w:szCs w:val="24"/>
              </w:rPr>
            </w:pPr>
            <w:r w:rsidRPr="006A1B50">
              <w:rPr>
                <w:rFonts w:ascii="Arial" w:hAnsi="Arial" w:cs="Arial"/>
                <w:sz w:val="24"/>
                <w:szCs w:val="24"/>
              </w:rPr>
              <w:t xml:space="preserve">Stage 2: The </w:t>
            </w:r>
            <w:r>
              <w:rPr>
                <w:rFonts w:ascii="Arial" w:hAnsi="Arial" w:cs="Arial"/>
                <w:sz w:val="24"/>
                <w:szCs w:val="24"/>
              </w:rPr>
              <w:t xml:space="preserve">award </w:t>
            </w:r>
            <w:r w:rsidRPr="006A1B50">
              <w:rPr>
                <w:rFonts w:ascii="Arial" w:hAnsi="Arial" w:cs="Arial"/>
                <w:sz w:val="24"/>
                <w:szCs w:val="24"/>
              </w:rPr>
              <w:t>evaluation will</w:t>
            </w:r>
            <w:r w:rsidRPr="006A1B50">
              <w:rPr>
                <w:rFonts w:ascii="Arial" w:hAnsi="Arial" w:cs="Arial"/>
                <w:sz w:val="24"/>
                <w:szCs w:val="24"/>
              </w:rPr>
              <w:t xml:space="preserve"> be based, </w:t>
            </w:r>
            <w:r>
              <w:rPr>
                <w:rFonts w:ascii="Arial" w:hAnsi="Arial" w:cs="Arial"/>
                <w:sz w:val="24"/>
                <w:szCs w:val="24"/>
              </w:rPr>
              <w:t>10</w:t>
            </w:r>
            <w:r w:rsidRPr="006A1B50">
              <w:rPr>
                <w:rFonts w:ascii="Arial" w:hAnsi="Arial" w:cs="Arial"/>
                <w:sz w:val="24"/>
                <w:szCs w:val="24"/>
              </w:rPr>
              <w:t xml:space="preserve">0% Financial Criteria. </w:t>
            </w:r>
          </w:p>
          <w:p w:rsidR="00C14BCD" w:rsidP="002F48B3">
            <w:pPr>
              <w:jc w:val="both"/>
              <w:rPr>
                <w:rFonts w:ascii="Arial" w:hAnsi="Arial" w:cs="Arial"/>
                <w:sz w:val="24"/>
                <w:szCs w:val="24"/>
              </w:rPr>
            </w:pPr>
          </w:p>
          <w:p w:rsidR="00C14BCD" w:rsidRPr="006A1B50" w:rsidP="002F48B3">
            <w:pPr>
              <w:jc w:val="both"/>
              <w:rPr>
                <w:rFonts w:ascii="Arial" w:hAnsi="Arial" w:cs="Arial"/>
                <w:sz w:val="24"/>
                <w:szCs w:val="24"/>
              </w:rPr>
            </w:pPr>
            <w:r>
              <w:rPr>
                <w:rFonts w:ascii="Arial" w:hAnsi="Arial" w:cs="Arial"/>
                <w:sz w:val="24"/>
                <w:szCs w:val="24"/>
              </w:rPr>
              <w:t xml:space="preserve">A total of the five </w:t>
            </w:r>
            <w:r w:rsidRPr="006A1B50">
              <w:rPr>
                <w:rFonts w:ascii="Arial" w:hAnsi="Arial" w:cs="Arial"/>
                <w:sz w:val="24"/>
                <w:szCs w:val="24"/>
              </w:rPr>
              <w:t>highest scoring tenderer</w:t>
            </w:r>
            <w:r>
              <w:rPr>
                <w:rFonts w:ascii="Arial" w:hAnsi="Arial" w:cs="Arial"/>
                <w:sz w:val="24"/>
                <w:szCs w:val="24"/>
              </w:rPr>
              <w:t xml:space="preserve">s </w:t>
            </w:r>
            <w:r w:rsidRPr="006A1B50">
              <w:rPr>
                <w:rFonts w:ascii="Arial" w:hAnsi="Arial" w:cs="Arial"/>
                <w:sz w:val="24"/>
                <w:szCs w:val="24"/>
              </w:rPr>
              <w:t xml:space="preserve">will be appointed </w:t>
            </w:r>
            <w:r>
              <w:rPr>
                <w:rFonts w:ascii="Arial" w:hAnsi="Arial" w:cs="Arial"/>
                <w:sz w:val="24"/>
                <w:szCs w:val="24"/>
              </w:rPr>
              <w:t xml:space="preserve">to each Lot on the </w:t>
            </w:r>
            <w:r w:rsidRPr="006A1B50">
              <w:rPr>
                <w:rFonts w:ascii="Arial" w:hAnsi="Arial" w:cs="Arial"/>
                <w:sz w:val="24"/>
                <w:szCs w:val="24"/>
              </w:rPr>
              <w:t>Framework.</w:t>
            </w:r>
          </w:p>
        </w:tc>
      </w:tr>
      <w:tr w:rsidTr="002F48B3">
        <w:tblPrEx>
          <w:tblW w:w="0" w:type="auto"/>
          <w:tblLook w:val="04A0"/>
        </w:tblPrEx>
        <w:tc>
          <w:tcPr>
            <w:tcW w:w="9016" w:type="dxa"/>
          </w:tcPr>
          <w:p w:rsidR="00C14BCD" w:rsidRPr="006A1B50" w:rsidP="002F48B3">
            <w:pPr>
              <w:jc w:val="both"/>
              <w:rPr>
                <w:rFonts w:ascii="Arial" w:hAnsi="Arial" w:cs="Arial"/>
                <w:b/>
                <w:sz w:val="24"/>
                <w:szCs w:val="24"/>
              </w:rPr>
            </w:pPr>
            <w:r w:rsidRPr="006A1B50">
              <w:rPr>
                <w:rFonts w:ascii="Arial" w:hAnsi="Arial" w:cs="Arial"/>
                <w:b/>
                <w:sz w:val="24"/>
                <w:szCs w:val="24"/>
              </w:rPr>
              <w:t>Contract Detail</w:t>
            </w:r>
          </w:p>
          <w:p w:rsidR="00C14BCD" w:rsidRPr="006A1B50" w:rsidP="002F48B3">
            <w:pPr>
              <w:jc w:val="both"/>
              <w:rPr>
                <w:rFonts w:ascii="Arial" w:hAnsi="Arial" w:cs="Arial"/>
                <w:b/>
                <w:sz w:val="24"/>
                <w:szCs w:val="24"/>
              </w:rPr>
            </w:pPr>
          </w:p>
          <w:p w:rsidR="00C14BCD" w:rsidP="00931376">
            <w:pPr>
              <w:jc w:val="both"/>
              <w:rPr>
                <w:rFonts w:ascii="Arial" w:hAnsi="Arial" w:cs="Arial"/>
                <w:sz w:val="24"/>
                <w:szCs w:val="24"/>
              </w:rPr>
            </w:pPr>
            <w:r>
              <w:rPr>
                <w:rFonts w:ascii="Arial" w:hAnsi="Arial" w:cs="Arial"/>
                <w:sz w:val="24"/>
                <w:szCs w:val="24"/>
              </w:rPr>
              <w:t>The agreement is for surface carriageway road planing works throughout the county. The planing</w:t>
            </w:r>
            <w:r>
              <w:rPr>
                <w:rFonts w:ascii="Arial" w:hAnsi="Arial" w:cs="Arial"/>
                <w:sz w:val="24"/>
                <w:szCs w:val="24"/>
              </w:rPr>
              <w:t xml:space="preserve"> Framework is used by Highways to call off supporting road-planing services when required.</w:t>
            </w:r>
          </w:p>
          <w:p w:rsidR="00873608" w:rsidP="00931376">
            <w:pPr>
              <w:jc w:val="both"/>
              <w:rPr>
                <w:rFonts w:ascii="Arial" w:hAnsi="Arial" w:cs="Arial"/>
                <w:sz w:val="24"/>
                <w:szCs w:val="24"/>
              </w:rPr>
            </w:pPr>
          </w:p>
          <w:p w:rsidR="00C14BCD" w:rsidP="002F48B3">
            <w:pPr>
              <w:jc w:val="both"/>
              <w:rPr>
                <w:rFonts w:ascii="Arial" w:hAnsi="Arial" w:cs="Arial"/>
                <w:sz w:val="24"/>
                <w:szCs w:val="24"/>
              </w:rPr>
            </w:pPr>
            <w:r>
              <w:rPr>
                <w:rFonts w:ascii="Arial" w:hAnsi="Arial" w:cs="Arial"/>
                <w:sz w:val="24"/>
                <w:szCs w:val="24"/>
              </w:rPr>
              <w:t>The contractor's on this contract will be required to provide and use plant &amp; machinery to remove part, or all, of the road surface in preparation for road re-surfa</w:t>
            </w:r>
            <w:r>
              <w:rPr>
                <w:rFonts w:ascii="Arial" w:hAnsi="Arial" w:cs="Arial"/>
                <w:sz w:val="24"/>
                <w:szCs w:val="24"/>
              </w:rPr>
              <w:t>cing with bitumen.</w:t>
            </w:r>
          </w:p>
          <w:p w:rsidR="00C14BCD" w:rsidRPr="006A1B50" w:rsidP="002F48B3">
            <w:pPr>
              <w:jc w:val="both"/>
              <w:rPr>
                <w:rFonts w:ascii="Arial" w:hAnsi="Arial" w:cs="Arial"/>
                <w:b/>
                <w:sz w:val="24"/>
                <w:szCs w:val="24"/>
              </w:rPr>
            </w:pPr>
          </w:p>
          <w:p w:rsidR="00C14BCD" w:rsidRPr="006A1B50" w:rsidP="002F48B3">
            <w:pPr>
              <w:jc w:val="both"/>
              <w:rPr>
                <w:rFonts w:ascii="Arial" w:hAnsi="Arial" w:cs="Arial"/>
                <w:b/>
                <w:sz w:val="24"/>
                <w:szCs w:val="24"/>
              </w:rPr>
            </w:pPr>
            <w:r w:rsidRPr="006A1B50">
              <w:rPr>
                <w:rFonts w:ascii="Arial" w:hAnsi="Arial" w:cs="Arial"/>
                <w:b/>
                <w:sz w:val="24"/>
                <w:szCs w:val="24"/>
              </w:rPr>
              <w:t>Review of Third Party Frameworks</w:t>
            </w:r>
          </w:p>
          <w:p w:rsidR="00C14BCD" w:rsidRPr="006A1B50" w:rsidP="002F48B3">
            <w:pPr>
              <w:jc w:val="both"/>
              <w:rPr>
                <w:rFonts w:ascii="Arial" w:hAnsi="Arial" w:cs="Arial"/>
                <w:b/>
                <w:sz w:val="24"/>
                <w:szCs w:val="24"/>
              </w:rPr>
            </w:pPr>
          </w:p>
          <w:p w:rsidR="00C14BCD" w:rsidRPr="006A1B50" w:rsidP="002F48B3">
            <w:pPr>
              <w:spacing w:after="120"/>
              <w:jc w:val="both"/>
              <w:rPr>
                <w:rFonts w:ascii="Arial" w:hAnsi="Arial" w:cs="Arial"/>
                <w:sz w:val="24"/>
                <w:szCs w:val="24"/>
              </w:rPr>
            </w:pPr>
            <w:r>
              <w:rPr>
                <w:rFonts w:ascii="Arial" w:hAnsi="Arial" w:cs="Arial"/>
                <w:sz w:val="24"/>
                <w:szCs w:val="24"/>
              </w:rPr>
              <w:t xml:space="preserve">A review of third party Frameworks </w:t>
            </w:r>
            <w:r w:rsidRPr="006A1B50">
              <w:rPr>
                <w:rFonts w:ascii="Arial" w:hAnsi="Arial" w:cs="Arial"/>
                <w:sz w:val="24"/>
                <w:szCs w:val="24"/>
              </w:rPr>
              <w:t xml:space="preserve">has concluded that conducting a bespoke tender is more likely </w:t>
            </w:r>
            <w:r>
              <w:rPr>
                <w:rFonts w:ascii="Arial" w:hAnsi="Arial" w:cs="Arial"/>
                <w:sz w:val="24"/>
                <w:szCs w:val="24"/>
              </w:rPr>
              <w:t xml:space="preserve">to </w:t>
            </w:r>
            <w:r w:rsidRPr="006A1B50">
              <w:rPr>
                <w:rFonts w:ascii="Arial" w:hAnsi="Arial" w:cs="Arial"/>
                <w:sz w:val="24"/>
                <w:szCs w:val="24"/>
              </w:rPr>
              <w:t>generate significant savings via increased competition and avoiding the indirect additional costs that</w:t>
            </w:r>
            <w:r w:rsidRPr="006A1B50">
              <w:rPr>
                <w:rFonts w:ascii="Arial" w:hAnsi="Arial" w:cs="Arial"/>
                <w:sz w:val="24"/>
                <w:szCs w:val="24"/>
              </w:rPr>
              <w:t xml:space="preserve"> tenderers add onto their prices on third party frameworks. </w:t>
            </w:r>
          </w:p>
        </w:tc>
      </w:tr>
    </w:tbl>
    <w:p w:rsidR="00C14BCD" w:rsidP="00C14BCD"/>
    <w:p w:rsidR="00E15F3F"/>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2061DB"/>
    <w:multiLevelType w:val="hybridMultilevel"/>
    <w:tmpl w:val="AF68C2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4817696"/>
    <w:multiLevelType w:val="hybridMultilevel"/>
    <w:tmpl w:val="87E4AD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5DD18A0"/>
    <w:multiLevelType w:val="hybridMultilevel"/>
    <w:tmpl w:val="E5A2F50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C534F38"/>
    <w:multiLevelType w:val="hybridMultilevel"/>
    <w:tmpl w:val="9B1E4E4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62B4586"/>
    <w:multiLevelType w:val="hybridMultilevel"/>
    <w:tmpl w:val="2E2A90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FB2"/>
    <w:pPr>
      <w:ind w:left="720"/>
      <w:contextualSpacing/>
    </w:pPr>
  </w:style>
  <w:style w:type="character" w:styleId="CommentReference">
    <w:name w:val="annotation reference"/>
    <w:basedOn w:val="DefaultParagraphFont"/>
    <w:uiPriority w:val="99"/>
    <w:semiHidden/>
    <w:unhideWhenUsed/>
    <w:rsid w:val="00490173"/>
    <w:rPr>
      <w:sz w:val="16"/>
      <w:szCs w:val="16"/>
    </w:rPr>
  </w:style>
  <w:style w:type="paragraph" w:styleId="CommentText">
    <w:name w:val="annotation text"/>
    <w:basedOn w:val="Normal"/>
    <w:link w:val="CommentTextChar"/>
    <w:uiPriority w:val="99"/>
    <w:semiHidden/>
    <w:unhideWhenUsed/>
    <w:rsid w:val="00490173"/>
    <w:pPr>
      <w:spacing w:line="240" w:lineRule="auto"/>
    </w:pPr>
    <w:rPr>
      <w:sz w:val="20"/>
      <w:szCs w:val="20"/>
    </w:rPr>
  </w:style>
  <w:style w:type="character" w:customStyle="1" w:styleId="CommentTextChar">
    <w:name w:val="Comment Text Char"/>
    <w:basedOn w:val="DefaultParagraphFont"/>
    <w:link w:val="CommentText"/>
    <w:uiPriority w:val="99"/>
    <w:semiHidden/>
    <w:rsid w:val="00490173"/>
    <w:rPr>
      <w:sz w:val="20"/>
      <w:szCs w:val="20"/>
    </w:rPr>
  </w:style>
  <w:style w:type="paragraph" w:styleId="CommentSubject">
    <w:name w:val="annotation subject"/>
    <w:basedOn w:val="CommentText"/>
    <w:next w:val="CommentText"/>
    <w:link w:val="CommentSubjectChar"/>
    <w:uiPriority w:val="99"/>
    <w:semiHidden/>
    <w:unhideWhenUsed/>
    <w:rsid w:val="00490173"/>
    <w:rPr>
      <w:b/>
      <w:bCs/>
    </w:rPr>
  </w:style>
  <w:style w:type="character" w:customStyle="1" w:styleId="CommentSubjectChar">
    <w:name w:val="Comment Subject Char"/>
    <w:basedOn w:val="CommentTextChar"/>
    <w:link w:val="CommentSubject"/>
    <w:uiPriority w:val="99"/>
    <w:semiHidden/>
    <w:rsid w:val="00490173"/>
    <w:rPr>
      <w:b/>
      <w:bCs/>
      <w:sz w:val="20"/>
      <w:szCs w:val="20"/>
    </w:rPr>
  </w:style>
  <w:style w:type="paragraph" w:styleId="BalloonText">
    <w:name w:val="Balloon Text"/>
    <w:basedOn w:val="Normal"/>
    <w:link w:val="BalloonTextChar"/>
    <w:uiPriority w:val="99"/>
    <w:semiHidden/>
    <w:unhideWhenUsed/>
    <w:rsid w:val="00490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73"/>
    <w:rPr>
      <w:rFonts w:ascii="Segoe UI" w:hAnsi="Segoe UI" w:cs="Segoe UI"/>
      <w:sz w:val="18"/>
      <w:szCs w:val="18"/>
    </w:rPr>
  </w:style>
  <w:style w:type="paragraph" w:styleId="Revision">
    <w:name w:val="Revision"/>
    <w:hidden/>
    <w:uiPriority w:val="99"/>
    <w:semiHidden/>
    <w:rsid w:val="00995076"/>
    <w:pPr>
      <w:spacing w:after="0" w:line="240" w:lineRule="auto"/>
    </w:pPr>
  </w:style>
  <w:style w:type="paragraph" w:styleId="NoSpacing">
    <w:name w:val="No Spacing"/>
    <w:uiPriority w:val="1"/>
    <w:qFormat/>
    <w:rsid w:val="005C371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Garsed, Craig</dc:creator>
  <cp:lastModifiedBy>Tanner, Rachel</cp:lastModifiedBy>
  <cp:revision>12</cp:revision>
  <cp:lastPrinted>2018-10-15T16:03:00Z</cp:lastPrinted>
  <dcterms:created xsi:type="dcterms:W3CDTF">2019-08-16T11:24:00Z</dcterms:created>
  <dcterms:modified xsi:type="dcterms:W3CDTF">2019-08-20T15:43:00Z</dcterms:modified>
</cp:coreProperties>
</file>